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w:t>
      </w:r>
      <w:r>
        <w:rPr>
          <w:rFonts w:hint="eastAsia" w:cs="Arial"/>
          <w:b/>
          <w:color w:val="auto"/>
          <w:sz w:val="24"/>
          <w:lang w:val="en-US" w:eastAsia="zh-CN"/>
        </w:rPr>
        <w:t>9</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2320423</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 xml:space="preserve">Chicago </w:t>
      </w:r>
      <w:r>
        <w:rPr>
          <w:rFonts w:hint="eastAsia" w:eastAsia="宋体"/>
          <w:b/>
          <w:color w:val="auto"/>
          <w:sz w:val="24"/>
          <w:lang w:val="en-US" w:eastAsia="zh-CN"/>
        </w:rPr>
        <w:t>USA</w:t>
      </w:r>
      <w:r>
        <w:rPr>
          <w:rFonts w:ascii="Arial" w:hAnsi="Arial" w:eastAsia="宋体"/>
          <w:b/>
          <w:color w:val="auto"/>
          <w:sz w:val="24"/>
          <w:lang w:eastAsia="zh-CN"/>
        </w:rPr>
        <w:t xml:space="preserve">, </w:t>
      </w:r>
      <w:r>
        <w:rPr>
          <w:rFonts w:hint="eastAsia" w:ascii="Arial" w:hAnsi="Arial" w:cs="Arial"/>
          <w:b/>
          <w:bCs/>
          <w:kern w:val="0"/>
          <w:sz w:val="24"/>
          <w:lang w:val="en-US" w:eastAsia="zh-CN"/>
        </w:rPr>
        <w:t>November</w:t>
      </w:r>
      <w:r>
        <w:rPr>
          <w:rFonts w:hint="eastAsia" w:ascii="Arial" w:hAnsi="Arial" w:eastAsia="宋体"/>
          <w:b/>
          <w:color w:val="auto"/>
          <w:sz w:val="24"/>
          <w:lang w:val="en-US" w:eastAsia="zh-CN"/>
        </w:rPr>
        <w:t xml:space="preserve"> </w:t>
      </w:r>
      <w:r>
        <w:rPr>
          <w:rFonts w:hint="eastAsia" w:eastAsia="宋体"/>
          <w:b/>
          <w:color w:val="auto"/>
          <w:sz w:val="24"/>
          <w:lang w:val="en-US" w:eastAsia="zh-CN"/>
        </w:rPr>
        <w:t>13</w:t>
      </w:r>
      <w:r>
        <w:rPr>
          <w:rFonts w:hint="eastAsia" w:ascii="Arial" w:hAnsi="Arial" w:eastAsia="宋体"/>
          <w:b/>
          <w:color w:val="auto"/>
          <w:sz w:val="24"/>
          <w:lang w:val="en-US" w:eastAsia="zh-CN"/>
        </w:rPr>
        <w:t>th</w:t>
      </w:r>
      <w:r>
        <w:rPr>
          <w:rFonts w:hint="eastAsia" w:ascii="Arial" w:hAnsi="Arial" w:eastAsia="宋体" w:cs="Arial"/>
          <w:b/>
          <w:bCs/>
          <w:color w:val="auto"/>
          <w:sz w:val="24"/>
          <w:szCs w:val="24"/>
          <w:lang w:val="en-US" w:eastAsia="zh-CN"/>
        </w:rPr>
        <w:t xml:space="preserve"> </w:t>
      </w:r>
      <w:r>
        <w:rPr>
          <w:rFonts w:ascii="Arial" w:hAnsi="Arial" w:cs="Arial"/>
          <w:b/>
          <w:bCs/>
          <w:color w:val="auto"/>
          <w:sz w:val="24"/>
          <w:szCs w:val="24"/>
        </w:rPr>
        <w:t>–</w:t>
      </w:r>
      <w:r>
        <w:rPr>
          <w:rFonts w:hint="eastAsia" w:ascii="Arial" w:hAnsi="Arial" w:eastAsia="宋体" w:cs="Arial"/>
          <w:b/>
          <w:bCs/>
          <w:color w:val="auto"/>
          <w:sz w:val="24"/>
          <w:szCs w:val="24"/>
          <w:lang w:val="en-US" w:eastAsia="zh-CN"/>
        </w:rPr>
        <w:t xml:space="preserve"> 1</w:t>
      </w:r>
      <w:r>
        <w:rPr>
          <w:rFonts w:hint="eastAsia" w:eastAsia="宋体" w:cs="Arial"/>
          <w:b/>
          <w:bCs/>
          <w:color w:val="auto"/>
          <w:sz w:val="24"/>
          <w:szCs w:val="24"/>
          <w:lang w:val="en-US" w:eastAsia="zh-CN"/>
        </w:rPr>
        <w:t>7</w:t>
      </w:r>
      <w:r>
        <w:rPr>
          <w:rFonts w:hint="eastAsia" w:ascii="Arial" w:hAnsi="Arial" w:eastAsia="宋体" w:cs="Arial"/>
          <w:b/>
          <w:bCs/>
          <w:color w:val="auto"/>
          <w:sz w:val="24"/>
          <w:szCs w:val="24"/>
          <w:lang w:val="en-US" w:eastAsia="zh-CN"/>
        </w:rPr>
        <w:t>th</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inter-RAT measurement without gaps</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8.9.3.2</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0"/>
        <w:bidi w:val="0"/>
        <w:rPr>
          <w:rFonts w:hint="default" w:ascii="Arial" w:hAnsi="Arial" w:cs="Arial"/>
          <w:lang w:val="en-US" w:eastAsia="zh-CN"/>
        </w:rPr>
      </w:pPr>
      <w:r>
        <w:rPr>
          <w:rFonts w:hint="eastAsia" w:ascii="Arial" w:hAnsi="Arial" w:cs="Arial"/>
          <w:lang w:val="en-US" w:eastAsia="zh-CN"/>
        </w:rPr>
        <w:t>For inter-RAT NR</w:t>
      </w:r>
      <w:r>
        <w:rPr>
          <w:rFonts w:hint="eastAsia" w:cs="Arial"/>
          <w:lang w:val="en-US" w:eastAsia="zh-CN"/>
        </w:rPr>
        <w:t>/LTE</w:t>
      </w:r>
      <w:r>
        <w:rPr>
          <w:rFonts w:hint="eastAsia" w:ascii="Arial" w:hAnsi="Arial" w:cs="Arial"/>
          <w:lang w:val="en-US" w:eastAsia="zh-CN"/>
        </w:rPr>
        <w:t xml:space="preserve"> measurement, the UE can measure NR</w:t>
      </w:r>
      <w:r>
        <w:rPr>
          <w:rFonts w:hint="eastAsia" w:cs="Arial"/>
          <w:lang w:val="en-US" w:eastAsia="zh-CN"/>
        </w:rPr>
        <w:t>/LTE</w:t>
      </w:r>
      <w:r>
        <w:rPr>
          <w:rFonts w:hint="eastAsia" w:ascii="Arial" w:hAnsi="Arial" w:cs="Arial"/>
          <w:lang w:val="en-US" w:eastAsia="zh-CN"/>
        </w:rPr>
        <w:t xml:space="preserve"> carrier without gaps</w:t>
      </w:r>
      <w:r>
        <w:rPr>
          <w:rFonts w:hint="eastAsia" w:cs="Arial"/>
          <w:lang w:val="en-US" w:eastAsia="zh-CN"/>
        </w:rPr>
        <w:t xml:space="preserve">, which improves system throughput and mobility performance. </w:t>
      </w:r>
      <w:r>
        <w:rPr>
          <w:rFonts w:hint="eastAsia" w:ascii="Arial" w:hAnsi="Arial" w:cs="Arial"/>
          <w:lang w:val="en-US" w:eastAsia="zh-CN"/>
        </w:rPr>
        <w:t xml:space="preserve">Based on the WID [1], the </w:t>
      </w:r>
      <w:r>
        <w:rPr>
          <w:rFonts w:hint="eastAsia" w:cs="Arial"/>
          <w:lang w:val="en-US" w:eastAsia="zh-CN"/>
        </w:rPr>
        <w:t xml:space="preserve">corresponding </w:t>
      </w:r>
      <w:r>
        <w:rPr>
          <w:rFonts w:hint="eastAsia" w:ascii="Arial" w:hAnsi="Arial" w:cs="Arial"/>
          <w:lang w:val="en-US" w:eastAsia="zh-CN"/>
        </w:rPr>
        <w:t>RRM requirements for inter-RAT NR no-gap measurement and inter-RAT LTE no-gap measurement will be defined in Rel-18.</w:t>
      </w:r>
      <w:r>
        <w:rPr>
          <w:rFonts w:hint="eastAsia" w:cs="Arial"/>
          <w:lang w:val="en-US" w:eastAsia="zh-CN"/>
        </w:rPr>
        <w:t xml:space="preserve"> </w:t>
      </w:r>
      <w:r>
        <w:rPr>
          <w:rFonts w:hint="eastAsia" w:ascii="Arial" w:hAnsi="Arial" w:cs="Arial"/>
          <w:lang w:val="en-US" w:eastAsia="zh-CN"/>
        </w:rPr>
        <w:t>In this contribution, we</w:t>
      </w:r>
      <w:r>
        <w:rPr>
          <w:rFonts w:hint="default" w:ascii="Arial" w:hAnsi="Arial" w:cs="Arial"/>
          <w:lang w:val="en-US" w:eastAsia="zh-CN"/>
        </w:rPr>
        <w:t>’</w:t>
      </w:r>
      <w:r>
        <w:rPr>
          <w:rFonts w:hint="eastAsia" w:ascii="Arial" w:hAnsi="Arial" w:cs="Arial"/>
          <w:lang w:val="en-US" w:eastAsia="zh-CN"/>
        </w:rPr>
        <w:t xml:space="preserve">d like to share our views on the inter-RAT measurement without gaps in the aspects of </w:t>
      </w:r>
      <w:r>
        <w:rPr>
          <w:rFonts w:hint="eastAsia" w:cs="Arial"/>
          <w:lang w:val="en-US" w:eastAsia="zh-CN"/>
        </w:rPr>
        <w:t>scheduling restriction, measurement reporting period requirements and UE capability</w:t>
      </w:r>
      <w:r>
        <w:rPr>
          <w:rFonts w:hint="eastAsia" w:ascii="Arial" w:hAnsi="Arial" w:cs="Arial"/>
          <w:lang w:val="en-US" w:eastAsia="zh-CN"/>
        </w:rPr>
        <w:t>.</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spacing w:after="120"/>
        <w:rPr>
          <w:rFonts w:hint="default" w:ascii="Arial" w:hAnsi="Arial" w:cs="Arial"/>
          <w:iCs/>
          <w:color w:val="auto"/>
        </w:rPr>
      </w:pPr>
      <w:r>
        <w:rPr>
          <w:rFonts w:hint="default" w:ascii="Arial" w:hAnsi="Arial" w:cs="Arial"/>
          <w:iCs/>
          <w:color w:val="auto"/>
        </w:rPr>
        <w:t xml:space="preserve">Up to </w:t>
      </w:r>
      <w:r>
        <w:rPr>
          <w:rFonts w:hint="default" w:ascii="Arial" w:hAnsi="Arial" w:eastAsia="宋体" w:cs="Arial"/>
          <w:iCs/>
          <w:color w:val="auto"/>
          <w:lang w:val="en-US" w:eastAsia="zh-CN"/>
        </w:rPr>
        <w:t>now</w:t>
      </w:r>
      <w:r>
        <w:rPr>
          <w:rFonts w:hint="default" w:ascii="Arial" w:hAnsi="Arial" w:cs="Arial"/>
          <w:iCs/>
          <w:color w:val="auto"/>
        </w:rPr>
        <w:t xml:space="preserve">, all agreed using scenarios for inter-RAT NR/LTE measurements without gap </w:t>
      </w:r>
      <w:r>
        <w:rPr>
          <w:rFonts w:hint="default" w:ascii="Arial" w:hAnsi="Arial" w:eastAsia="宋体" w:cs="Arial"/>
          <w:iCs/>
          <w:color w:val="auto"/>
          <w:lang w:val="en-US" w:eastAsia="zh-CN"/>
        </w:rPr>
        <w:t>is</w:t>
      </w:r>
      <w:r>
        <w:rPr>
          <w:rFonts w:hint="default" w:ascii="Arial" w:hAnsi="Arial" w:cs="Arial"/>
          <w:iCs/>
          <w:color w:val="auto"/>
        </w:rPr>
        <w:t xml:space="preserve"> summarized as</w:t>
      </w:r>
      <w:r>
        <w:rPr>
          <w:rFonts w:hint="default" w:ascii="Arial" w:hAnsi="Arial" w:eastAsia="宋体" w:cs="Arial"/>
          <w:iCs/>
          <w:color w:val="auto"/>
          <w:lang w:val="en-US" w:eastAsia="zh-CN"/>
        </w:rPr>
        <w:t xml:space="preserve"> follows</w:t>
      </w:r>
      <w:r>
        <w:rPr>
          <w:rFonts w:hint="default" w:ascii="Arial" w:hAnsi="Arial" w:cs="Arial"/>
          <w:iCs/>
          <w:color w:val="auto"/>
        </w:rPr>
        <w:t>:</w:t>
      </w:r>
    </w:p>
    <w:p>
      <w:pPr>
        <w:pStyle w:val="29"/>
        <w:keepNext w:val="0"/>
        <w:keepLines w:val="0"/>
        <w:pageBreakBefore w:val="0"/>
        <w:widowControl w:val="0"/>
        <w:numPr>
          <w:ilvl w:val="0"/>
          <w:numId w:val="5"/>
        </w:numPr>
        <w:kinsoku/>
        <w:wordWrap/>
        <w:overflowPunct w:val="0"/>
        <w:topLinePunct w:val="0"/>
        <w:autoSpaceDE w:val="0"/>
        <w:autoSpaceDN w:val="0"/>
        <w:bidi w:val="0"/>
        <w:adjustRightInd w:val="0"/>
        <w:snapToGrid/>
        <w:spacing w:after="160" w:line="240" w:lineRule="auto"/>
        <w:ind w:hanging="363" w:firstLineChars="0"/>
        <w:textAlignment w:val="baseline"/>
        <w:rPr>
          <w:rFonts w:hint="default" w:ascii="Arial" w:hAnsi="Arial" w:cs="Arial"/>
          <w:color w:val="auto"/>
          <w:sz w:val="20"/>
          <w:szCs w:val="20"/>
        </w:rPr>
      </w:pPr>
      <w:r>
        <w:rPr>
          <w:rFonts w:hint="default" w:ascii="Arial" w:hAnsi="Arial" w:cs="Arial"/>
          <w:color w:val="auto"/>
          <w:sz w:val="20"/>
          <w:szCs w:val="20"/>
        </w:rPr>
        <w:t>the inter-RAT NR measurements without gap in Rel</w:t>
      </w:r>
      <w:r>
        <w:rPr>
          <w:rFonts w:hint="default" w:ascii="Arial" w:hAnsi="Arial" w:cs="Arial"/>
          <w:color w:val="auto"/>
          <w:sz w:val="20"/>
          <w:szCs w:val="20"/>
          <w:lang w:val="en-US" w:eastAsia="zh-CN"/>
        </w:rPr>
        <w:t>-</w:t>
      </w:r>
      <w:r>
        <w:rPr>
          <w:rFonts w:hint="default" w:ascii="Arial" w:hAnsi="Arial" w:cs="Arial"/>
          <w:color w:val="auto"/>
          <w:sz w:val="20"/>
          <w:szCs w:val="20"/>
        </w:rPr>
        <w:t>18 includes the two scenarios below.</w:t>
      </w:r>
      <w:r>
        <w:rPr>
          <w:rFonts w:hint="default" w:ascii="Arial" w:hAnsi="Arial" w:cs="Arial"/>
          <w:color w:val="auto"/>
          <w:sz w:val="20"/>
          <w:szCs w:val="20"/>
          <w:lang w:val="en-US" w:eastAsia="zh-CN"/>
        </w:rPr>
        <w:t xml:space="preserve"> </w:t>
      </w:r>
    </w:p>
    <w:p>
      <w:pPr>
        <w:pStyle w:val="29"/>
        <w:keepNext w:val="0"/>
        <w:keepLines w:val="0"/>
        <w:pageBreakBefore w:val="0"/>
        <w:widowControl w:val="0"/>
        <w:numPr>
          <w:ilvl w:val="1"/>
          <w:numId w:val="6"/>
        </w:numPr>
        <w:kinsoku/>
        <w:wordWrap/>
        <w:overflowPunct w:val="0"/>
        <w:topLinePunct w:val="0"/>
        <w:autoSpaceDE w:val="0"/>
        <w:autoSpaceDN w:val="0"/>
        <w:bidi w:val="0"/>
        <w:adjustRightInd w:val="0"/>
        <w:snapToGrid/>
        <w:spacing w:after="160" w:line="240" w:lineRule="auto"/>
        <w:ind w:hanging="363" w:firstLineChars="0"/>
        <w:textAlignment w:val="baseline"/>
        <w:rPr>
          <w:rFonts w:hint="default" w:ascii="Arial" w:hAnsi="Arial" w:cs="Arial"/>
          <w:color w:val="auto"/>
          <w:sz w:val="20"/>
          <w:szCs w:val="20"/>
        </w:rPr>
      </w:pPr>
      <w:r>
        <w:rPr>
          <w:rFonts w:hint="default" w:ascii="Arial" w:hAnsi="Arial" w:cs="Arial"/>
          <w:b/>
          <w:bCs/>
          <w:color w:val="auto"/>
          <w:sz w:val="20"/>
          <w:szCs w:val="20"/>
        </w:rPr>
        <w:t>Case a-1</w:t>
      </w:r>
      <w:r>
        <w:rPr>
          <w:rFonts w:hint="default" w:ascii="Arial" w:hAnsi="Arial" w:cs="Arial"/>
          <w:color w:val="auto"/>
          <w:sz w:val="20"/>
          <w:szCs w:val="20"/>
        </w:rPr>
        <w:t xml:space="preserve">: UE performing the measurements without gap in NR carriers as there is vacant RF chains for UE measurements </w:t>
      </w:r>
    </w:p>
    <w:p>
      <w:pPr>
        <w:pStyle w:val="29"/>
        <w:keepNext w:val="0"/>
        <w:keepLines w:val="0"/>
        <w:pageBreakBefore w:val="0"/>
        <w:widowControl w:val="0"/>
        <w:numPr>
          <w:ilvl w:val="0"/>
          <w:numId w:val="5"/>
        </w:numPr>
        <w:kinsoku/>
        <w:wordWrap/>
        <w:overflowPunct w:val="0"/>
        <w:topLinePunct w:val="0"/>
        <w:autoSpaceDE w:val="0"/>
        <w:autoSpaceDN w:val="0"/>
        <w:bidi w:val="0"/>
        <w:adjustRightInd w:val="0"/>
        <w:snapToGrid/>
        <w:spacing w:after="160" w:line="240" w:lineRule="auto"/>
        <w:ind w:hanging="363" w:firstLineChars="0"/>
        <w:textAlignment w:val="baseline"/>
        <w:rPr>
          <w:rFonts w:hint="default" w:ascii="Arial" w:hAnsi="Arial" w:cs="Arial"/>
          <w:color w:val="auto"/>
          <w:sz w:val="20"/>
          <w:szCs w:val="20"/>
        </w:rPr>
      </w:pPr>
      <w:r>
        <w:rPr>
          <w:rFonts w:hint="default" w:ascii="Arial" w:hAnsi="Arial" w:cs="Arial"/>
          <w:color w:val="auto"/>
          <w:sz w:val="20"/>
          <w:szCs w:val="20"/>
        </w:rPr>
        <w:t>the inter-RAT LTE measurements without gap in Rel</w:t>
      </w:r>
      <w:r>
        <w:rPr>
          <w:rFonts w:hint="default" w:ascii="Arial" w:hAnsi="Arial" w:cs="Arial"/>
          <w:color w:val="auto"/>
          <w:sz w:val="20"/>
          <w:szCs w:val="20"/>
          <w:lang w:val="en-US" w:eastAsia="zh-CN"/>
        </w:rPr>
        <w:t>-</w:t>
      </w:r>
      <w:r>
        <w:rPr>
          <w:rFonts w:hint="default" w:ascii="Arial" w:hAnsi="Arial" w:cs="Arial"/>
          <w:color w:val="auto"/>
          <w:sz w:val="20"/>
          <w:szCs w:val="20"/>
        </w:rPr>
        <w:t>18 includes the two scenarios below.</w:t>
      </w:r>
      <w:r>
        <w:rPr>
          <w:rFonts w:hint="default" w:ascii="Arial" w:hAnsi="Arial" w:cs="Arial"/>
          <w:color w:val="auto"/>
          <w:sz w:val="20"/>
          <w:szCs w:val="20"/>
          <w:lang w:val="en-US" w:eastAsia="zh-CN"/>
        </w:rPr>
        <w:t xml:space="preserve"> </w:t>
      </w:r>
    </w:p>
    <w:p>
      <w:pPr>
        <w:pStyle w:val="29"/>
        <w:keepNext w:val="0"/>
        <w:keepLines w:val="0"/>
        <w:pageBreakBefore w:val="0"/>
        <w:widowControl w:val="0"/>
        <w:numPr>
          <w:ilvl w:val="1"/>
          <w:numId w:val="6"/>
        </w:numPr>
        <w:kinsoku/>
        <w:wordWrap/>
        <w:overflowPunct w:val="0"/>
        <w:topLinePunct w:val="0"/>
        <w:autoSpaceDE w:val="0"/>
        <w:autoSpaceDN w:val="0"/>
        <w:bidi w:val="0"/>
        <w:adjustRightInd w:val="0"/>
        <w:snapToGrid/>
        <w:spacing w:after="160" w:line="240" w:lineRule="auto"/>
        <w:ind w:hanging="363" w:firstLineChars="0"/>
        <w:textAlignment w:val="baseline"/>
        <w:rPr>
          <w:rFonts w:hint="default" w:ascii="Arial" w:hAnsi="Arial" w:cs="Arial"/>
          <w:color w:val="auto"/>
          <w:sz w:val="20"/>
          <w:szCs w:val="20"/>
        </w:rPr>
      </w:pPr>
      <w:r>
        <w:rPr>
          <w:rFonts w:hint="default" w:ascii="Arial" w:hAnsi="Arial" w:cs="Arial"/>
          <w:b/>
          <w:bCs/>
          <w:color w:val="auto"/>
          <w:sz w:val="20"/>
          <w:szCs w:val="20"/>
        </w:rPr>
        <w:t>Case b-1</w:t>
      </w:r>
      <w:r>
        <w:rPr>
          <w:rFonts w:hint="default" w:ascii="Arial" w:hAnsi="Arial" w:cs="Arial"/>
          <w:color w:val="auto"/>
          <w:sz w:val="20"/>
          <w:szCs w:val="20"/>
        </w:rPr>
        <w:t xml:space="preserve">: UE performing the measurements without gap in LTE carriers as there is vacant RF chains for UE measurements </w:t>
      </w:r>
    </w:p>
    <w:p>
      <w:pPr>
        <w:pStyle w:val="29"/>
        <w:keepNext w:val="0"/>
        <w:keepLines w:val="0"/>
        <w:pageBreakBefore w:val="0"/>
        <w:widowControl w:val="0"/>
        <w:numPr>
          <w:ilvl w:val="1"/>
          <w:numId w:val="6"/>
        </w:numPr>
        <w:kinsoku/>
        <w:wordWrap/>
        <w:overflowPunct w:val="0"/>
        <w:topLinePunct w:val="0"/>
        <w:autoSpaceDE w:val="0"/>
        <w:autoSpaceDN w:val="0"/>
        <w:bidi w:val="0"/>
        <w:adjustRightInd w:val="0"/>
        <w:snapToGrid/>
        <w:spacing w:after="120" w:line="240" w:lineRule="auto"/>
        <w:ind w:hanging="363" w:firstLineChars="0"/>
        <w:textAlignment w:val="baseline"/>
        <w:rPr>
          <w:rFonts w:hint="default" w:ascii="Arial" w:hAnsi="Arial" w:cs="Arial"/>
          <w:iCs/>
          <w:color w:val="auto"/>
          <w:sz w:val="20"/>
          <w:szCs w:val="20"/>
        </w:rPr>
      </w:pPr>
      <w:r>
        <w:rPr>
          <w:rFonts w:hint="default" w:ascii="Arial" w:hAnsi="Arial" w:cs="Arial"/>
          <w:b/>
          <w:bCs/>
          <w:color w:val="auto"/>
          <w:sz w:val="20"/>
          <w:szCs w:val="20"/>
        </w:rPr>
        <w:t>Case b-2</w:t>
      </w:r>
      <w:r>
        <w:rPr>
          <w:rFonts w:hint="default" w:ascii="Arial" w:hAnsi="Arial" w:cs="Arial"/>
          <w:color w:val="auto"/>
          <w:sz w:val="20"/>
          <w:szCs w:val="20"/>
        </w:rPr>
        <w:t xml:space="preserve">: LTE CRS are fully contained within UE’s active BWP </w:t>
      </w:r>
    </w:p>
    <w:p>
      <w:pPr>
        <w:bidi w:val="0"/>
        <w:rPr>
          <w:rFonts w:hint="default"/>
          <w:lang w:val="en-US" w:eastAsia="zh-CN"/>
        </w:rPr>
      </w:pPr>
    </w:p>
    <w:p>
      <w:pPr>
        <w:keepNext w:val="0"/>
        <w:keepLines w:val="0"/>
        <w:pageBreakBefore w:val="0"/>
        <w:widowControl/>
        <w:kinsoku/>
        <w:wordWrap/>
        <w:overflowPunct/>
        <w:topLinePunct w:val="0"/>
        <w:autoSpaceDE/>
        <w:autoSpaceDN/>
        <w:bidi w:val="0"/>
        <w:adjustRightInd/>
        <w:snapToGrid/>
        <w:spacing w:after="120"/>
        <w:textAlignment w:val="auto"/>
        <w:outlineLvl w:val="1"/>
        <w:rPr>
          <w:rFonts w:hint="default" w:eastAsia="宋体"/>
          <w:b/>
          <w:bCs/>
          <w:color w:val="auto"/>
          <w:sz w:val="24"/>
          <w:szCs w:val="16"/>
          <w:lang w:val="en-US" w:eastAsia="zh-CN"/>
        </w:rPr>
      </w:pPr>
      <w:r>
        <w:rPr>
          <w:rFonts w:hint="default" w:ascii="Arial" w:hAnsi="Arial" w:eastAsia="宋体" w:cs="Arial"/>
          <w:b/>
          <w:bCs/>
          <w:color w:val="auto"/>
          <w:sz w:val="24"/>
          <w:szCs w:val="16"/>
          <w:lang w:val="en-US" w:eastAsia="zh-CN"/>
        </w:rPr>
        <w:t>2.</w:t>
      </w:r>
      <w:r>
        <w:rPr>
          <w:rFonts w:hint="eastAsia" w:eastAsia="宋体" w:cs="Arial"/>
          <w:b/>
          <w:bCs/>
          <w:color w:val="auto"/>
          <w:sz w:val="24"/>
          <w:szCs w:val="16"/>
          <w:lang w:val="en-US" w:eastAsia="zh-CN"/>
        </w:rPr>
        <w:t>1</w:t>
      </w:r>
      <w:r>
        <w:rPr>
          <w:rFonts w:hint="default" w:ascii="Arial" w:hAnsi="Arial" w:eastAsia="宋体" w:cs="Arial"/>
          <w:b/>
          <w:bCs/>
          <w:color w:val="auto"/>
          <w:sz w:val="24"/>
          <w:szCs w:val="16"/>
          <w:lang w:val="en-US" w:eastAsia="zh-CN"/>
        </w:rPr>
        <w:t xml:space="preserve"> Scheduling restriction</w:t>
      </w:r>
    </w:p>
    <w:p>
      <w:pPr>
        <w:bidi w:val="0"/>
        <w:jc w:val="both"/>
        <w:rPr>
          <w:rFonts w:hint="eastAsia"/>
          <w:lang w:val="en-US" w:eastAsia="zh-CN"/>
        </w:rPr>
      </w:pPr>
      <w:r>
        <w:rPr>
          <w:rFonts w:hint="eastAsia"/>
          <w:lang w:val="en-US" w:eastAsia="zh-CN"/>
        </w:rPr>
        <w:t>Regarding the scheduling restrictions for inter-RAT measurement, we have achieved the following agreements in the previous meetings:</w:t>
      </w:r>
    </w:p>
    <w:p>
      <w:pPr>
        <w:numPr>
          <w:ilvl w:val="0"/>
          <w:numId w:val="7"/>
        </w:numPr>
        <w:ind w:left="420" w:leftChars="0" w:hanging="420" w:firstLineChars="0"/>
        <w:rPr>
          <w:rFonts w:hint="default" w:ascii="Times New Roman" w:hAnsi="Times New Roman" w:eastAsia="宋体" w:cs="Times New Roman"/>
          <w:color w:val="auto"/>
          <w:sz w:val="20"/>
          <w:szCs w:val="20"/>
          <w:lang w:val="en-US" w:eastAsia="zh-CN" w:bidi="ar-SA"/>
        </w:rPr>
      </w:pPr>
      <w:r>
        <w:t>The existing scheduling restriction requirements in clause 9.3.10.3 can be taken as baseline for the inter-RAT NR measurement without measurement gaps</w:t>
      </w:r>
    </w:p>
    <w:p>
      <w:pPr>
        <w:numPr>
          <w:ilvl w:val="0"/>
          <w:numId w:val="7"/>
        </w:numPr>
        <w:ind w:left="420" w:leftChars="0" w:hanging="420" w:firstLineChars="0"/>
        <w:rPr>
          <w:rFonts w:hint="default" w:ascii="Times New Roman" w:hAnsi="Times New Roman" w:eastAsia="宋体" w:cs="Times New Roman"/>
          <w:color w:val="auto"/>
          <w:sz w:val="20"/>
          <w:szCs w:val="20"/>
          <w:lang w:val="en-US" w:eastAsia="zh-CN" w:bidi="ar-SA"/>
        </w:rPr>
      </w:pPr>
      <w:r>
        <w:t>Scheduling restriction due to inter-RAT LTE measurement are applicable when</w:t>
      </w:r>
      <w:r>
        <w:rPr>
          <w:rFonts w:hint="eastAsia" w:eastAsia="宋体"/>
          <w:lang w:val="en-US" w:eastAsia="zh-CN"/>
        </w:rPr>
        <w:t xml:space="preserve"> </w:t>
      </w:r>
    </w:p>
    <w:p>
      <w:pPr>
        <w:numPr>
          <w:ilvl w:val="0"/>
          <w:numId w:val="0"/>
        </w:numPr>
        <w:ind w:left="420" w:leftChars="0" w:firstLine="420" w:firstLineChars="0"/>
        <w:rPr>
          <w:rFonts w:hint="default" w:eastAsia="宋体"/>
          <w:lang w:val="en-US" w:eastAsia="zh-CN"/>
        </w:rPr>
      </w:pPr>
      <w:r>
        <w:rPr>
          <w:rFonts w:hint="eastAsia" w:eastAsia="宋体"/>
          <w:lang w:val="en-US" w:eastAsia="zh-CN"/>
        </w:rPr>
        <w:t>-UE does not support simultaneous Tx and Rx on the serving cell and target band;</w:t>
      </w:r>
    </w:p>
    <w:p>
      <w:pPr>
        <w:numPr>
          <w:ilvl w:val="0"/>
          <w:numId w:val="0"/>
        </w:numPr>
        <w:ind w:left="420" w:leftChars="0" w:firstLine="420" w:firstLineChars="0"/>
        <w:rPr>
          <w:rFonts w:hint="default" w:eastAsia="宋体"/>
          <w:lang w:val="en-US" w:eastAsia="zh-CN"/>
        </w:rPr>
      </w:pPr>
      <w:r>
        <w:rPr>
          <w:rFonts w:hint="eastAsia" w:eastAsia="宋体"/>
          <w:lang w:val="en-US" w:eastAsia="zh-CN"/>
        </w:rPr>
        <w:t>-FFS on Serving cell and target MO have mixed SCS and they are in the same band.</w:t>
      </w:r>
    </w:p>
    <w:p>
      <w:pPr>
        <w:bidi w:val="0"/>
        <w:rPr>
          <w:rFonts w:hint="default"/>
          <w:lang w:val="en-US" w:eastAsia="zh-CN"/>
        </w:rPr>
      </w:pPr>
      <w:r>
        <w:rPr>
          <w:rFonts w:hint="eastAsia"/>
          <w:lang w:val="en-US" w:eastAsia="zh-CN"/>
        </w:rPr>
        <w:t>There are still some issues left. In this subject, we</w:t>
      </w:r>
      <w:r>
        <w:rPr>
          <w:rFonts w:hint="default"/>
          <w:lang w:val="en-US" w:eastAsia="zh-CN"/>
        </w:rPr>
        <w:t>’</w:t>
      </w:r>
      <w:r>
        <w:rPr>
          <w:rFonts w:hint="eastAsia"/>
          <w:lang w:val="en-US" w:eastAsia="zh-CN"/>
        </w:rPr>
        <w:t>d like to share our views on these remaining issues.</w:t>
      </w:r>
    </w:p>
    <w:p>
      <w:pPr>
        <w:rPr>
          <w:rFonts w:hint="eastAsia" w:ascii="Times New Roman" w:hAnsi="Times New Roman" w:eastAsia="宋体" w:cs="Times New Roman"/>
          <w:color w:val="auto"/>
          <w:sz w:val="20"/>
          <w:szCs w:val="20"/>
          <w:lang w:val="en-US" w:eastAsia="zh-CN" w:bidi="ar-SA"/>
        </w:rPr>
      </w:pPr>
    </w:p>
    <w:p>
      <w:pPr>
        <w:keepNext w:val="0"/>
        <w:keepLines w:val="0"/>
        <w:pageBreakBefore w:val="0"/>
        <w:widowControl/>
        <w:kinsoku/>
        <w:wordWrap/>
        <w:overflowPunct/>
        <w:topLinePunct w:val="0"/>
        <w:autoSpaceDE/>
        <w:autoSpaceDN/>
        <w:bidi w:val="0"/>
        <w:adjustRightInd/>
        <w:snapToGrid/>
        <w:spacing w:after="120"/>
        <w:textAlignment w:val="auto"/>
        <w:rPr>
          <w:rFonts w:hint="eastAsia" w:ascii="Arial" w:hAnsi="Arial" w:eastAsia="Times New Roman"/>
          <w:u w:val="single"/>
          <w:lang w:val="en-US" w:eastAsia="ko-KR"/>
        </w:rPr>
      </w:pPr>
      <w:r>
        <w:rPr>
          <w:rFonts w:hint="eastAsia" w:ascii="Arial" w:hAnsi="Arial" w:eastAsia="Times New Roman"/>
          <w:u w:val="single"/>
          <w:lang w:val="en-US" w:eastAsia="ko-KR"/>
        </w:rPr>
        <w:t>Issue 2-2-1: Scheduling restriction due to mixed numerology for case b-2</w:t>
      </w:r>
    </w:p>
    <w:p>
      <w:pPr>
        <w:pStyle w:val="29"/>
        <w:numPr>
          <w:ilvl w:val="0"/>
          <w:numId w:val="0"/>
        </w:numPr>
        <w:spacing w:after="120"/>
        <w:textAlignment w:val="auto"/>
        <w:rPr>
          <w:rFonts w:hint="eastAsia" w:ascii="Arial" w:hAnsi="Arial" w:cs="Arial"/>
          <w:color w:val="auto"/>
          <w:sz w:val="20"/>
          <w:szCs w:val="20"/>
          <w:lang w:val="en-US" w:eastAsia="zh-CN"/>
        </w:rPr>
      </w:pPr>
      <w:r>
        <w:rPr>
          <w:rFonts w:hint="default" w:ascii="Arial" w:hAnsi="Arial" w:cs="Arial"/>
          <w:color w:val="auto"/>
          <w:sz w:val="20"/>
          <w:szCs w:val="20"/>
          <w:lang w:val="en-US" w:eastAsia="zh-CN"/>
        </w:rPr>
        <w:t xml:space="preserve">In the last meeting, the following options </w:t>
      </w:r>
      <w:r>
        <w:rPr>
          <w:rFonts w:hint="eastAsia" w:ascii="Arial" w:hAnsi="Arial" w:cs="Arial"/>
          <w:color w:val="auto"/>
          <w:sz w:val="20"/>
          <w:szCs w:val="20"/>
          <w:lang w:val="en-US" w:eastAsia="zh-CN"/>
        </w:rPr>
        <w:t>were proposed to define the scheduling restriction due to mixed numerology in the inter-RAT LTE no-gap measurement: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1"/>
                <w:numId w:val="3"/>
              </w:numPr>
              <w:spacing w:after="120"/>
              <w:ind w:left="760" w:leftChars="0" w:firstLineChars="0"/>
              <w:textAlignment w:val="auto"/>
              <w:rPr>
                <w:rFonts w:hint="default" w:ascii="Arial" w:hAnsi="Arial" w:cs="Arial"/>
                <w:color w:val="auto"/>
                <w:sz w:val="20"/>
                <w:szCs w:val="20"/>
                <w:vertAlign w:val="baseline"/>
                <w:lang w:val="en-US" w:eastAsia="zh-CN"/>
              </w:rPr>
            </w:pPr>
            <w:r>
              <w:rPr>
                <w:rFonts w:hint="default" w:ascii="Arial" w:hAnsi="Arial" w:cs="Arial"/>
                <w:color w:val="auto"/>
                <w:sz w:val="20"/>
                <w:szCs w:val="20"/>
                <w:vertAlign w:val="baseline"/>
                <w:lang w:val="en-US" w:eastAsia="zh-CN"/>
              </w:rPr>
              <w:t>Option 1: The scheduling restriction shall be defined for inter-RAT LTE measurement case b-2 with mixed numerology, -- serving cell and target MO have mixed SCS and they are in the same band, and UE does not support mixed SCS between serving cell and target MO.</w:t>
            </w:r>
          </w:p>
          <w:p>
            <w:pPr>
              <w:pStyle w:val="29"/>
              <w:numPr>
                <w:ilvl w:val="1"/>
                <w:numId w:val="3"/>
              </w:numPr>
              <w:spacing w:after="120"/>
              <w:ind w:left="760" w:leftChars="0" w:firstLineChars="0"/>
              <w:textAlignment w:val="auto"/>
              <w:rPr>
                <w:rFonts w:hint="default" w:ascii="Arial" w:hAnsi="Arial" w:cs="Arial"/>
                <w:color w:val="auto"/>
                <w:sz w:val="20"/>
                <w:szCs w:val="20"/>
                <w:vertAlign w:val="baseline"/>
                <w:lang w:val="en-US" w:eastAsia="zh-CN"/>
              </w:rPr>
            </w:pPr>
            <w:r>
              <w:rPr>
                <w:rFonts w:hint="default" w:ascii="Arial" w:hAnsi="Arial" w:cs="Arial"/>
                <w:color w:val="auto"/>
                <w:sz w:val="20"/>
                <w:szCs w:val="20"/>
                <w:vertAlign w:val="baseline"/>
                <w:lang w:val="en-US" w:eastAsia="zh-CN"/>
              </w:rPr>
              <w:t>Option 1a: The scheduling restriction shall be defined for inter-RAT LTE measurement case b-1 and b-2 with mixed numerology, -- serving cell and target MO have mixed SCS and they are in the same band, and UE does not support mixed SCS between serving cell and target MO.</w:t>
            </w:r>
          </w:p>
          <w:p>
            <w:pPr>
              <w:pStyle w:val="29"/>
              <w:numPr>
                <w:ilvl w:val="1"/>
                <w:numId w:val="3"/>
              </w:numPr>
              <w:spacing w:after="120"/>
              <w:ind w:left="760" w:leftChars="0" w:firstLineChars="0"/>
              <w:textAlignment w:val="auto"/>
              <w:rPr>
                <w:rFonts w:hint="default" w:ascii="Arial" w:hAnsi="Arial" w:cs="Arial"/>
                <w:color w:val="auto"/>
                <w:sz w:val="20"/>
                <w:szCs w:val="20"/>
                <w:vertAlign w:val="baseline"/>
                <w:lang w:val="en-US" w:eastAsia="zh-CN"/>
              </w:rPr>
            </w:pPr>
            <w:r>
              <w:rPr>
                <w:rFonts w:hint="default" w:ascii="Arial" w:hAnsi="Arial" w:cs="Arial"/>
                <w:color w:val="auto"/>
                <w:sz w:val="20"/>
                <w:szCs w:val="20"/>
                <w:vertAlign w:val="baseline"/>
                <w:lang w:val="en-US" w:eastAsia="zh-CN"/>
              </w:rPr>
              <w:t>Option 2: A new UE capability to support mix-numerology scheduling restriction for inter-RAT LTE measurement and NR data reception with 30KHz can be introduced.</w:t>
            </w:r>
          </w:p>
          <w:p>
            <w:pPr>
              <w:pStyle w:val="29"/>
              <w:numPr>
                <w:ilvl w:val="1"/>
                <w:numId w:val="3"/>
              </w:numPr>
              <w:spacing w:after="120"/>
              <w:ind w:left="760" w:leftChars="0" w:firstLineChars="0"/>
              <w:textAlignment w:val="auto"/>
              <w:rPr>
                <w:rFonts w:hint="default" w:ascii="Arial" w:hAnsi="Arial" w:cs="Arial"/>
                <w:color w:val="auto"/>
                <w:sz w:val="20"/>
                <w:szCs w:val="20"/>
                <w:vertAlign w:val="baseline"/>
                <w:lang w:val="en-US" w:eastAsia="zh-CN"/>
              </w:rPr>
            </w:pPr>
            <w:r>
              <w:rPr>
                <w:rFonts w:hint="default" w:ascii="Arial" w:hAnsi="Arial" w:cs="Arial"/>
                <w:color w:val="auto"/>
                <w:sz w:val="20"/>
                <w:szCs w:val="20"/>
                <w:vertAlign w:val="baseline"/>
                <w:lang w:val="en-US" w:eastAsia="zh-CN"/>
              </w:rPr>
              <w:t>Option 3: RAN4 does not need to define scheduling restriction due to mixed numerology and simultaneous TxRx at least for DSS scenario in case b-2.</w:t>
            </w:r>
          </w:p>
        </w:tc>
      </w:tr>
    </w:tbl>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lang w:val="en-US" w:eastAsia="zh-CN"/>
        </w:rPr>
      </w:pPr>
      <w:r>
        <w:rPr>
          <w:rFonts w:hint="eastAsia"/>
          <w:lang w:val="en-US" w:eastAsia="zh-CN"/>
        </w:rPr>
        <w:t xml:space="preserve">In legacy intra-frequency without MG measurement, scheduling restriction is defined for the UE not supporting </w:t>
      </w:r>
      <w:r>
        <w:rPr>
          <w:rFonts w:hint="eastAsia"/>
          <w:i/>
          <w:iCs/>
          <w:lang w:val="en-US" w:eastAsia="zh-CN"/>
        </w:rPr>
        <w:t>simultaneousRxDataSSB-DiffNumerology</w:t>
      </w:r>
      <w:r>
        <w:rPr>
          <w:rFonts w:hint="eastAsia"/>
          <w:lang w:val="en-US" w:eastAsia="zh-CN"/>
        </w:rPr>
        <w:t>. And in legacy inter-freq without MG measurement, scheduling restriction is defined for the UE not supporti</w:t>
      </w:r>
      <w:r>
        <w:rPr>
          <w:rFonts w:hint="default" w:ascii="Arial" w:hAnsi="Arial" w:cs="Arial"/>
          <w:lang w:val="en-US" w:eastAsia="zh-CN"/>
        </w:rPr>
        <w:t xml:space="preserve">ng </w:t>
      </w:r>
      <w:r>
        <w:rPr>
          <w:rFonts w:hint="default" w:ascii="Arial" w:hAnsi="Arial" w:eastAsia="Times New Roman" w:cs="Arial"/>
          <w:i/>
          <w:sz w:val="20"/>
          <w:szCs w:val="24"/>
        </w:rPr>
        <w:t>simultaneousRxDataSSB-DiffNumerology-Inte</w:t>
      </w:r>
      <w:r>
        <w:rPr>
          <w:rFonts w:hint="eastAsia" w:ascii="Arial" w:hAnsi="Arial" w:eastAsia="宋体" w:cs="Arial"/>
          <w:i/>
          <w:sz w:val="20"/>
          <w:szCs w:val="24"/>
          <w:lang w:val="en-US" w:eastAsia="zh-CN"/>
        </w:rPr>
        <w:t xml:space="preserve">r. </w:t>
      </w:r>
      <w:r>
        <w:rPr>
          <w:rFonts w:hint="eastAsia" w:ascii="Arial" w:hAnsi="Arial" w:eastAsia="宋体" w:cs="Arial"/>
          <w:i w:val="0"/>
          <w:iCs/>
          <w:sz w:val="20"/>
          <w:szCs w:val="24"/>
          <w:lang w:val="en-US" w:eastAsia="zh-CN"/>
        </w:rPr>
        <w:t xml:space="preserve">Here, we can follow the same logic, to define a new UE capability to indicate whether the UE supports </w:t>
      </w:r>
      <w:r>
        <w:rPr>
          <w:rFonts w:hint="eastAsia" w:eastAsia="宋体" w:cs="Arial"/>
          <w:i w:val="0"/>
          <w:iCs/>
          <w:sz w:val="20"/>
          <w:szCs w:val="24"/>
          <w:lang w:val="en-US" w:eastAsia="zh-CN"/>
        </w:rPr>
        <w:t xml:space="preserve">parallel </w:t>
      </w:r>
      <w:r>
        <w:rPr>
          <w:rFonts w:hint="eastAsia" w:ascii="Arial" w:hAnsi="Arial" w:eastAsia="宋体" w:cs="Arial"/>
          <w:i w:val="0"/>
          <w:iCs/>
          <w:sz w:val="20"/>
          <w:szCs w:val="24"/>
          <w:lang w:val="en-US" w:eastAsia="zh-CN"/>
        </w:rPr>
        <w:t xml:space="preserve">inter-RAT LTE no-gap measurement and data reception from the serving cell with a different numerology. In this way, </w:t>
      </w:r>
      <w:r>
        <w:rPr>
          <w:rFonts w:hint="eastAsia"/>
          <w:lang w:val="en-US" w:eastAsia="zh-CN"/>
        </w:rPr>
        <w:t>if supporting this new capability, there is not scheduling restrictions caused by mixed numerology, which can bring benefits of throughput and mobility performance.</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lang w:val="en-US" w:eastAsia="zh-CN"/>
        </w:rPr>
      </w:pPr>
      <w:r>
        <w:rPr>
          <w:rFonts w:hint="eastAsia"/>
          <w:lang w:val="en-US" w:eastAsia="zh-CN"/>
        </w:rPr>
        <w:t>With the new capability agreed, if the UE does not support this new capability and serving cell and target cell are in the same band with mixed SCS, the scheduling restriction shall be applied.</w:t>
      </w:r>
    </w:p>
    <w:p>
      <w:pPr>
        <w:bidi w:val="0"/>
        <w:jc w:val="both"/>
        <w:rPr>
          <w:rFonts w:hint="default" w:ascii="Arial" w:hAnsi="Arial" w:eastAsia="宋体" w:cs="Arial"/>
          <w:b/>
          <w:bCs/>
          <w:color w:val="auto"/>
          <w:sz w:val="20"/>
          <w:szCs w:val="20"/>
          <w:lang w:val="en-US" w:eastAsia="zh-CN"/>
        </w:rPr>
      </w:pPr>
      <w:r>
        <w:rPr>
          <w:rFonts w:hint="eastAsia" w:ascii="Arial" w:hAnsi="Arial" w:eastAsia="宋体" w:cs="Arial"/>
          <w:b/>
          <w:bCs/>
          <w:color w:val="auto"/>
          <w:sz w:val="20"/>
          <w:szCs w:val="20"/>
          <w:lang w:val="en-US" w:eastAsia="zh-CN"/>
        </w:rPr>
        <w:t xml:space="preserve">Proposal </w:t>
      </w:r>
      <w:r>
        <w:rPr>
          <w:rFonts w:hint="eastAsia" w:eastAsia="宋体" w:cs="Arial"/>
          <w:b/>
          <w:bCs/>
          <w:color w:val="auto"/>
          <w:sz w:val="20"/>
          <w:szCs w:val="20"/>
          <w:lang w:val="en-US" w:eastAsia="zh-CN"/>
        </w:rPr>
        <w:t>1</w:t>
      </w:r>
      <w:r>
        <w:rPr>
          <w:rFonts w:hint="eastAsia" w:ascii="Arial" w:hAnsi="Arial" w:eastAsia="宋体" w:cs="Arial"/>
          <w:b/>
          <w:bCs/>
          <w:color w:val="auto"/>
          <w:sz w:val="20"/>
          <w:szCs w:val="20"/>
          <w:lang w:val="en-US" w:eastAsia="zh-CN"/>
        </w:rPr>
        <w:t xml:space="preserve">: Introduce </w:t>
      </w:r>
      <w:r>
        <w:rPr>
          <w:rFonts w:hint="eastAsia" w:eastAsia="宋体" w:cs="Arial"/>
          <w:b/>
          <w:bCs/>
          <w:color w:val="auto"/>
          <w:sz w:val="20"/>
          <w:szCs w:val="20"/>
          <w:lang w:val="en-US" w:eastAsia="zh-CN"/>
        </w:rPr>
        <w:t xml:space="preserve">a </w:t>
      </w:r>
      <w:r>
        <w:rPr>
          <w:rFonts w:hint="eastAsia" w:ascii="Arial" w:hAnsi="Arial" w:eastAsia="宋体" w:cs="Arial"/>
          <w:b/>
          <w:bCs/>
          <w:color w:val="auto"/>
          <w:sz w:val="20"/>
          <w:szCs w:val="20"/>
          <w:lang w:val="en-US" w:eastAsia="zh-CN"/>
        </w:rPr>
        <w:t>new UE capability</w:t>
      </w:r>
      <w:r>
        <w:rPr>
          <w:rFonts w:hint="eastAsia"/>
          <w:b/>
          <w:bCs/>
          <w:lang w:val="en-US" w:eastAsia="zh-CN"/>
        </w:rPr>
        <w:t xml:space="preserve"> to indicate whether the UE supports parallel inter-RAT LTE no-gap measurement and data reception from the serving cell with a mixed numerology.</w:t>
      </w:r>
    </w:p>
    <w:p>
      <w:pPr>
        <w:pStyle w:val="10"/>
        <w:bidi w:val="0"/>
        <w:rPr>
          <w:rFonts w:hint="default"/>
          <w:b/>
          <w:bCs/>
          <w:lang w:val="en-US" w:eastAsia="zh-CN"/>
        </w:rPr>
      </w:pPr>
      <w:r>
        <w:rPr>
          <w:rFonts w:hint="eastAsia"/>
          <w:b/>
          <w:bCs/>
          <w:lang w:val="en-US" w:eastAsia="zh-CN"/>
        </w:rPr>
        <w:t>Proposal 2: For case b-2, the scheduling re</w:t>
      </w:r>
      <w:r>
        <w:rPr>
          <w:rFonts w:hint="eastAsia"/>
          <w:b/>
          <w:bCs/>
          <w:color w:val="auto"/>
          <w:lang w:val="en-US" w:eastAsia="zh-CN"/>
        </w:rPr>
        <w:t>striction shall be defined for the UE not supporting the new capability and serving cell and target cell are in the same band with mix</w:t>
      </w:r>
      <w:r>
        <w:rPr>
          <w:rFonts w:hint="eastAsia"/>
          <w:b/>
          <w:bCs/>
          <w:lang w:val="en-US" w:eastAsia="zh-CN"/>
        </w:rPr>
        <w:t>ed SCS.</w:t>
      </w:r>
    </w:p>
    <w:p>
      <w:pPr>
        <w:pStyle w:val="10"/>
        <w:bidi w:val="0"/>
        <w:rPr>
          <w:rFonts w:hint="default"/>
          <w:b w:val="0"/>
          <w:bCs w:val="0"/>
          <w:u w:val="single"/>
          <w:lang w:val="en-US" w:eastAsia="zh-CN"/>
        </w:rPr>
      </w:pPr>
      <w:r>
        <w:rPr>
          <w:rFonts w:hint="default"/>
          <w:b w:val="0"/>
          <w:bCs w:val="0"/>
          <w:u w:val="single"/>
          <w:lang w:val="en-US" w:eastAsia="zh-CN"/>
        </w:rPr>
        <w:t xml:space="preserve">Issue 2-2-2: Scheduling restriction when UE does not support simultaneous Tx and Rx on the serving cell and target band  </w:t>
      </w:r>
    </w:p>
    <w:p>
      <w:pPr>
        <w:pStyle w:val="10"/>
        <w:bidi w:val="0"/>
        <w:rPr>
          <w:rFonts w:hint="eastAsia" w:ascii="Arial" w:hAnsi="Arial" w:cs="Arial"/>
          <w:b w:val="0"/>
          <w:bCs w:val="0"/>
          <w:lang w:val="en-US" w:eastAsia="zh-CN"/>
        </w:rPr>
      </w:pPr>
      <w:r>
        <w:rPr>
          <w:rFonts w:hint="eastAsia" w:ascii="Arial" w:hAnsi="Arial" w:cs="Arial"/>
          <w:b w:val="0"/>
          <w:bCs w:val="0"/>
          <w:lang w:val="en-US" w:eastAsia="zh-CN"/>
        </w:rPr>
        <w:t>Regarding this issue, the following option was proposed: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1"/>
                <w:numId w:val="3"/>
              </w:numPr>
              <w:spacing w:after="120"/>
              <w:ind w:firstLineChars="0"/>
              <w:textAlignment w:val="auto"/>
              <w:rPr>
                <w:rFonts w:hint="default" w:ascii="Arial" w:hAnsi="Arial" w:cs="Arial"/>
                <w:b w:val="0"/>
                <w:bCs w:val="0"/>
                <w:vertAlign w:val="baseline"/>
                <w:lang w:val="en-US" w:eastAsia="zh-CN"/>
              </w:rPr>
            </w:pPr>
            <w:r>
              <w:rPr>
                <w:rFonts w:eastAsia="宋体"/>
                <w:szCs w:val="24"/>
                <w:lang w:eastAsia="zh-CN"/>
              </w:rPr>
              <w:t xml:space="preserve">Option 1: </w:t>
            </w:r>
            <w:r>
              <w:t>Specify scheduling restriction.</w:t>
            </w:r>
          </w:p>
        </w:tc>
      </w:tr>
    </w:tbl>
    <w:p>
      <w:pPr>
        <w:pStyle w:val="10"/>
        <w:bidi w:val="0"/>
        <w:rPr>
          <w:rFonts w:hint="eastAsia" w:ascii="Arial" w:hAnsi="Arial" w:cs="Arial"/>
          <w:b w:val="0"/>
          <w:bCs w:val="0"/>
          <w:lang w:val="en-US" w:eastAsia="zh-CN"/>
        </w:rPr>
      </w:pPr>
      <w:r>
        <w:rPr>
          <w:rFonts w:hint="eastAsia" w:ascii="Arial" w:hAnsi="Arial" w:cs="Arial"/>
          <w:b w:val="0"/>
          <w:bCs w:val="0"/>
          <w:lang w:val="en-US" w:eastAsia="zh-CN"/>
        </w:rPr>
        <w:t>In legacy intra/inter-freq measurement without gap, scheduling restriction is defined for the UE not supporting simultaneous Tx and Rx on the serving cell and target cell. Here, we can follow the same logic.</w:t>
      </w:r>
    </w:p>
    <w:p>
      <w:pPr>
        <w:pStyle w:val="10"/>
        <w:bidi w:val="0"/>
        <w:rPr>
          <w:rFonts w:hint="default" w:ascii="Arial" w:hAnsi="Arial" w:cs="Arial"/>
          <w:b/>
          <w:bCs/>
          <w:lang w:val="en-US" w:eastAsia="zh-CN"/>
        </w:rPr>
      </w:pPr>
      <w:r>
        <w:rPr>
          <w:rFonts w:hint="eastAsia" w:ascii="Arial" w:hAnsi="Arial" w:cs="Arial"/>
          <w:b/>
          <w:bCs/>
          <w:lang w:val="en-US" w:eastAsia="zh-CN"/>
        </w:rPr>
        <w:t>Proposal 3: Specify scheduling restriction when UE does not support simultaneous Tx and Rx on the serving cell and target cell.</w:t>
      </w:r>
    </w:p>
    <w:p>
      <w:pPr>
        <w:pStyle w:val="10"/>
        <w:bidi w:val="0"/>
        <w:rPr>
          <w:rFonts w:hint="default"/>
          <w:b/>
          <w:bCs/>
          <w:lang w:val="en-US" w:eastAsia="zh-CN"/>
        </w:rPr>
      </w:pPr>
    </w:p>
    <w:p>
      <w:pPr>
        <w:pStyle w:val="10"/>
        <w:bidi w:val="0"/>
        <w:rPr>
          <w:rFonts w:hint="default"/>
          <w:b w:val="0"/>
          <w:bCs w:val="0"/>
          <w:color w:val="auto"/>
          <w:u w:val="single"/>
          <w:lang w:val="en-US" w:eastAsia="zh-CN"/>
        </w:rPr>
      </w:pPr>
      <w:r>
        <w:rPr>
          <w:rFonts w:hint="default"/>
          <w:b w:val="0"/>
          <w:bCs w:val="0"/>
          <w:color w:val="auto"/>
          <w:u w:val="single"/>
          <w:lang w:val="en-US" w:eastAsia="zh-CN"/>
        </w:rPr>
        <w:t>Issue 2-2-3: Scheduling restriction due to mixed numerology for case b-1</w:t>
      </w:r>
    </w:p>
    <w:p>
      <w:pPr>
        <w:pStyle w:val="10"/>
        <w:bidi w:val="0"/>
        <w:rPr>
          <w:rFonts w:hint="eastAsia"/>
          <w:b w:val="0"/>
          <w:bCs w:val="0"/>
          <w:color w:val="auto"/>
          <w:lang w:val="en-US" w:eastAsia="zh-CN"/>
        </w:rPr>
      </w:pPr>
      <w:r>
        <w:rPr>
          <w:rFonts w:hint="eastAsia"/>
          <w:b w:val="0"/>
          <w:bCs w:val="0"/>
          <w:color w:val="auto"/>
          <w:lang w:val="en-US" w:eastAsia="zh-CN"/>
        </w:rPr>
        <w:t>Regarding this issue, companies provides the following options in the last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9514" w:type="dxa"/>
          </w:tcPr>
          <w:p>
            <w:pPr>
              <w:pStyle w:val="29"/>
              <w:numPr>
                <w:ilvl w:val="1"/>
                <w:numId w:val="3"/>
              </w:numPr>
              <w:spacing w:after="120"/>
              <w:ind w:firstLineChars="0"/>
              <w:textAlignment w:val="auto"/>
              <w:rPr>
                <w:rFonts w:eastAsia="宋体"/>
                <w:color w:val="auto"/>
                <w:szCs w:val="24"/>
                <w:lang w:eastAsia="zh-CN"/>
              </w:rPr>
            </w:pPr>
            <w:r>
              <w:rPr>
                <w:rFonts w:eastAsia="宋体"/>
                <w:color w:val="auto"/>
                <w:szCs w:val="24"/>
                <w:lang w:eastAsia="zh-CN"/>
              </w:rPr>
              <w:t>Option 1: Not s</w:t>
            </w:r>
            <w:r>
              <w:rPr>
                <w:color w:val="auto"/>
              </w:rPr>
              <w:t>pecify scheduling restriction similar as NCSG.</w:t>
            </w:r>
          </w:p>
          <w:p>
            <w:pPr>
              <w:pStyle w:val="29"/>
              <w:numPr>
                <w:ilvl w:val="1"/>
                <w:numId w:val="3"/>
              </w:numPr>
              <w:spacing w:after="120"/>
              <w:ind w:firstLineChars="0"/>
              <w:textAlignment w:val="auto"/>
              <w:rPr>
                <w:rFonts w:hint="default"/>
                <w:b w:val="0"/>
                <w:bCs w:val="0"/>
                <w:color w:val="auto"/>
                <w:vertAlign w:val="baseline"/>
                <w:lang w:val="en-US" w:eastAsia="zh-CN"/>
              </w:rPr>
            </w:pPr>
            <w:r>
              <w:rPr>
                <w:rFonts w:eastAsia="宋体"/>
                <w:color w:val="auto"/>
                <w:szCs w:val="24"/>
                <w:lang w:eastAsia="zh-CN"/>
              </w:rPr>
              <w:t>Option 2: specify scheduling restriction</w:t>
            </w:r>
          </w:p>
        </w:tc>
      </w:tr>
    </w:tbl>
    <w:p>
      <w:pPr>
        <w:pStyle w:val="10"/>
        <w:bidi w:val="0"/>
        <w:rPr>
          <w:rFonts w:hint="eastAsia"/>
          <w:b w:val="0"/>
          <w:bCs w:val="0"/>
          <w:lang w:val="en-US" w:eastAsia="zh-CN"/>
        </w:rPr>
      </w:pPr>
      <w:r>
        <w:rPr>
          <w:rFonts w:hint="eastAsia"/>
          <w:b w:val="0"/>
          <w:bCs w:val="0"/>
          <w:lang w:val="en-US" w:eastAsia="zh-CN"/>
        </w:rPr>
        <w:t xml:space="preserve">For case b-1, the UE can report </w:t>
      </w:r>
      <w:r>
        <w:rPr>
          <w:rFonts w:hint="default"/>
          <w:b w:val="0"/>
          <w:bCs w:val="0"/>
          <w:lang w:val="en-US" w:eastAsia="zh-CN"/>
        </w:rPr>
        <w:t>‘</w:t>
      </w:r>
      <w:r>
        <w:rPr>
          <w:rFonts w:hint="eastAsia"/>
          <w:b w:val="0"/>
          <w:bCs w:val="0"/>
          <w:i/>
          <w:iCs/>
          <w:lang w:val="en-US" w:eastAsia="zh-CN"/>
        </w:rPr>
        <w:t>ncsg</w:t>
      </w:r>
      <w:r>
        <w:rPr>
          <w:rFonts w:hint="default"/>
          <w:b w:val="0"/>
          <w:bCs w:val="0"/>
          <w:lang w:val="en-US" w:eastAsia="zh-CN"/>
        </w:rPr>
        <w:t>’</w:t>
      </w:r>
      <w:r>
        <w:rPr>
          <w:rFonts w:hint="eastAsia"/>
          <w:b w:val="0"/>
          <w:bCs w:val="0"/>
          <w:lang w:val="en-US" w:eastAsia="zh-CN"/>
        </w:rPr>
        <w:t xml:space="preserve"> or </w:t>
      </w:r>
      <w:r>
        <w:rPr>
          <w:rFonts w:hint="default"/>
          <w:b w:val="0"/>
          <w:bCs w:val="0"/>
          <w:lang w:val="en-US" w:eastAsia="zh-CN"/>
        </w:rPr>
        <w:t>‘</w:t>
      </w:r>
      <w:r>
        <w:rPr>
          <w:rFonts w:hint="eastAsia"/>
          <w:b w:val="0"/>
          <w:bCs w:val="0"/>
          <w:i/>
          <w:iCs/>
          <w:lang w:val="en-US" w:eastAsia="zh-CN"/>
        </w:rPr>
        <w:t>nogap-noncsg</w:t>
      </w:r>
      <w:r>
        <w:rPr>
          <w:rFonts w:hint="default"/>
          <w:b w:val="0"/>
          <w:bCs w:val="0"/>
          <w:lang w:val="en-US" w:eastAsia="zh-CN"/>
        </w:rPr>
        <w:t>’</w:t>
      </w:r>
      <w:r>
        <w:rPr>
          <w:rFonts w:hint="eastAsia"/>
          <w:b w:val="0"/>
          <w:bCs w:val="0"/>
          <w:lang w:val="en-US" w:eastAsia="zh-CN"/>
        </w:rPr>
        <w:t xml:space="preserve">. For the case that UE reporting </w:t>
      </w:r>
      <w:r>
        <w:rPr>
          <w:rFonts w:hint="default"/>
          <w:b w:val="0"/>
          <w:bCs w:val="0"/>
          <w:lang w:val="en-US" w:eastAsia="zh-CN"/>
        </w:rPr>
        <w:t>‘</w:t>
      </w:r>
      <w:r>
        <w:rPr>
          <w:rFonts w:hint="eastAsia"/>
          <w:b w:val="0"/>
          <w:bCs w:val="0"/>
          <w:i/>
          <w:iCs/>
          <w:lang w:val="en-US" w:eastAsia="zh-CN"/>
        </w:rPr>
        <w:t>ncsg</w:t>
      </w:r>
      <w:r>
        <w:rPr>
          <w:rFonts w:hint="default"/>
          <w:b w:val="0"/>
          <w:bCs w:val="0"/>
          <w:lang w:val="en-US" w:eastAsia="zh-CN"/>
        </w:rPr>
        <w:t>’</w:t>
      </w:r>
      <w:r>
        <w:rPr>
          <w:rFonts w:hint="eastAsia"/>
          <w:b w:val="0"/>
          <w:bCs w:val="0"/>
          <w:lang w:val="en-US" w:eastAsia="zh-CN"/>
        </w:rPr>
        <w:t xml:space="preserve">, the case is same as R17 NCSG, so take scheduling restrictions in clause 9.3.10 as reference. For the case that UE reporting </w:t>
      </w:r>
      <w:r>
        <w:rPr>
          <w:rFonts w:hint="default"/>
          <w:b w:val="0"/>
          <w:bCs w:val="0"/>
          <w:lang w:val="en-US" w:eastAsia="zh-CN"/>
        </w:rPr>
        <w:t>‘</w:t>
      </w:r>
      <w:r>
        <w:rPr>
          <w:rFonts w:hint="eastAsia"/>
          <w:b w:val="0"/>
          <w:bCs w:val="0"/>
          <w:i/>
          <w:iCs/>
          <w:lang w:val="en-US" w:eastAsia="zh-CN"/>
        </w:rPr>
        <w:t>nogap-noncsg</w:t>
      </w:r>
      <w:r>
        <w:rPr>
          <w:rFonts w:hint="default"/>
          <w:b w:val="0"/>
          <w:bCs w:val="0"/>
          <w:lang w:val="en-US" w:eastAsia="zh-CN"/>
        </w:rPr>
        <w:t>’</w:t>
      </w:r>
      <w:r>
        <w:rPr>
          <w:rFonts w:hint="eastAsia"/>
          <w:b w:val="0"/>
          <w:bCs w:val="0"/>
          <w:lang w:val="en-US" w:eastAsia="zh-CN"/>
        </w:rPr>
        <w:t>, we can take legacy scheduling restriction in clause 9.3.9 as reference. In fact the principle of scheduling restriction in clause 9.3.9 and 9.3.10 are similar. Thus, for case b-1, scheduling restriction due to mixed numerology is needed.</w:t>
      </w:r>
    </w:p>
    <w:p>
      <w:pPr>
        <w:pStyle w:val="10"/>
        <w:bidi w:val="0"/>
        <w:rPr>
          <w:rFonts w:hint="eastAsia"/>
          <w:b/>
          <w:bCs/>
          <w:lang w:val="en-US" w:eastAsia="zh-CN"/>
        </w:rPr>
      </w:pPr>
      <w:r>
        <w:rPr>
          <w:rFonts w:hint="eastAsia"/>
          <w:b/>
          <w:bCs/>
          <w:lang w:val="en-US" w:eastAsia="zh-CN"/>
        </w:rPr>
        <w:t xml:space="preserve">Proposal 4: For case b-1, specify scheduling restrictions caused by mixed numerology. </w:t>
      </w:r>
    </w:p>
    <w:p>
      <w:pPr>
        <w:pStyle w:val="10"/>
        <w:bidi w:val="0"/>
        <w:rPr>
          <w:rFonts w:hint="default"/>
          <w:b/>
          <w:bCs/>
          <w:lang w:val="en-US" w:eastAsia="zh-CN"/>
        </w:rPr>
      </w:pPr>
    </w:p>
    <w:p>
      <w:pPr>
        <w:keepNext w:val="0"/>
        <w:keepLines w:val="0"/>
        <w:pageBreakBefore w:val="0"/>
        <w:widowControl/>
        <w:kinsoku/>
        <w:wordWrap/>
        <w:overflowPunct/>
        <w:topLinePunct w:val="0"/>
        <w:autoSpaceDE/>
        <w:autoSpaceDN/>
        <w:bidi w:val="0"/>
        <w:adjustRightInd/>
        <w:snapToGrid w:val="0"/>
        <w:spacing w:after="120"/>
        <w:textAlignment w:val="auto"/>
        <w:outlineLvl w:val="1"/>
        <w:rPr>
          <w:rFonts w:hint="eastAsia"/>
          <w:lang w:val="en-US" w:eastAsia="zh-CN"/>
        </w:rPr>
      </w:pPr>
      <w:bookmarkStart w:id="0" w:name="_GoBack"/>
      <w:bookmarkEnd w:id="0"/>
      <w:r>
        <w:rPr>
          <w:rFonts w:hint="eastAsia" w:ascii="Arial" w:hAnsi="Arial" w:eastAsia="宋体" w:cs="Arial"/>
          <w:b/>
          <w:bCs/>
          <w:color w:val="auto"/>
          <w:sz w:val="24"/>
          <w:szCs w:val="16"/>
          <w:lang w:val="en-US" w:eastAsia="zh-CN"/>
        </w:rPr>
        <w:t>2.</w:t>
      </w:r>
      <w:r>
        <w:rPr>
          <w:rFonts w:hint="eastAsia" w:eastAsia="宋体" w:cs="Arial"/>
          <w:b/>
          <w:bCs/>
          <w:color w:val="auto"/>
          <w:sz w:val="24"/>
          <w:szCs w:val="16"/>
          <w:lang w:val="en-US" w:eastAsia="zh-CN"/>
        </w:rPr>
        <w:t>2</w:t>
      </w:r>
      <w:r>
        <w:rPr>
          <w:rFonts w:hint="eastAsia" w:ascii="Arial" w:hAnsi="Arial" w:eastAsia="宋体" w:cs="Arial"/>
          <w:b/>
          <w:bCs/>
          <w:color w:val="auto"/>
          <w:sz w:val="24"/>
          <w:szCs w:val="16"/>
          <w:lang w:val="en-US" w:eastAsia="zh-CN"/>
        </w:rPr>
        <w:t xml:space="preserve"> Measurement reporting period requirements</w:t>
      </w:r>
    </w:p>
    <w:p>
      <w:pPr>
        <w:keepNext w:val="0"/>
        <w:keepLines w:val="0"/>
        <w:pageBreakBefore w:val="0"/>
        <w:widowControl/>
        <w:kinsoku/>
        <w:wordWrap/>
        <w:overflowPunct/>
        <w:topLinePunct w:val="0"/>
        <w:autoSpaceDE/>
        <w:autoSpaceDN/>
        <w:bidi w:val="0"/>
        <w:adjustRightInd/>
        <w:snapToGrid/>
        <w:spacing w:after="120"/>
        <w:textAlignment w:val="auto"/>
        <w:rPr>
          <w:rFonts w:hint="eastAsia"/>
          <w:u w:val="single"/>
          <w:lang w:val="en-US" w:eastAsia="zh-CN"/>
        </w:rPr>
      </w:pPr>
      <w:r>
        <w:rPr>
          <w:rFonts w:hint="eastAsia"/>
          <w:u w:val="single"/>
          <w:lang w:val="en-US" w:eastAsia="zh-CN"/>
        </w:rPr>
        <w:t xml:space="preserve">Issue 2-4-1: Where to perform Inter-RAT LTE measurement causing scheduling restriction </w:t>
      </w:r>
    </w:p>
    <w:p>
      <w:pPr>
        <w:bidi w:val="0"/>
        <w:jc w:val="both"/>
        <w:rPr>
          <w:rFonts w:hint="eastAsia"/>
          <w:lang w:val="en-US" w:eastAsia="zh-CN"/>
        </w:rPr>
      </w:pPr>
      <w:r>
        <w:rPr>
          <w:rFonts w:hint="eastAsia"/>
          <w:lang w:val="en-US" w:eastAsia="zh-CN"/>
        </w:rPr>
        <w:t>Regarding the overlap between effective measurement window and SMTC/SSB/MG, we have achieved the following agreements:</w:t>
      </w:r>
    </w:p>
    <w:p>
      <w:pPr>
        <w:numPr>
          <w:ilvl w:val="0"/>
          <w:numId w:val="8"/>
        </w:numPr>
        <w:bidi w:val="0"/>
        <w:ind w:left="420" w:leftChars="0" w:hanging="420" w:firstLineChars="0"/>
        <w:jc w:val="both"/>
        <w:rPr>
          <w:rFonts w:hint="eastAsia"/>
          <w:lang w:val="en-US" w:eastAsia="zh-CN"/>
        </w:rPr>
      </w:pPr>
      <w:r>
        <w:rPr>
          <w:rFonts w:hint="eastAsia"/>
          <w:lang w:val="en-US" w:eastAsia="zh-CN"/>
        </w:rPr>
        <w:t>For case b-2, when EMW is configured overlapped with SMTC/SSB/CSI-RS measurement with scheduling restrictions, inter-RAT LTE measurement will be dropped.</w:t>
      </w:r>
    </w:p>
    <w:p>
      <w:pPr>
        <w:numPr>
          <w:ilvl w:val="0"/>
          <w:numId w:val="8"/>
        </w:numPr>
        <w:bidi w:val="0"/>
        <w:ind w:left="420" w:leftChars="0" w:hanging="420" w:firstLineChars="0"/>
        <w:jc w:val="both"/>
        <w:rPr>
          <w:rFonts w:hint="eastAsia"/>
          <w:lang w:val="en-US" w:eastAsia="zh-CN"/>
        </w:rPr>
      </w:pPr>
      <w:r>
        <w:t>For case b-1 and b-2, when EMW is partially overlapped with MG (EMW periodicity &lt; MGRP), the EMW occasion colliding physically with MG will be dropped.</w:t>
      </w:r>
    </w:p>
    <w:p>
      <w:pPr>
        <w:numPr>
          <w:ilvl w:val="0"/>
          <w:numId w:val="8"/>
        </w:numPr>
        <w:bidi w:val="0"/>
        <w:ind w:left="420" w:leftChars="0" w:hanging="420" w:firstLineChars="0"/>
        <w:jc w:val="both"/>
        <w:rPr>
          <w:rFonts w:hint="eastAsia"/>
          <w:lang w:val="en-US" w:eastAsia="zh-CN"/>
        </w:rPr>
      </w:pPr>
      <w:r>
        <w:rPr>
          <w:rFonts w:hint="eastAsia"/>
          <w:lang w:val="en-US" w:eastAsia="zh-CN"/>
        </w:rPr>
        <w:t>For Case b-1 and b-2, Inter-RAT LTE measurement causing scheduling restriction is performed within MG and existing requirements for MG based measurement apply,</w:t>
      </w:r>
    </w:p>
    <w:p>
      <w:pPr>
        <w:keepNext w:val="0"/>
        <w:keepLines w:val="0"/>
        <w:pageBreakBefore w:val="0"/>
        <w:widowControl/>
        <w:kinsoku/>
        <w:wordWrap/>
        <w:overflowPunct/>
        <w:topLinePunct w:val="0"/>
        <w:autoSpaceDE/>
        <w:autoSpaceDN/>
        <w:bidi w:val="0"/>
        <w:adjustRightInd/>
        <w:snapToGrid/>
        <w:ind w:left="600" w:leftChars="300"/>
        <w:jc w:val="both"/>
        <w:textAlignment w:val="auto"/>
        <w:rPr>
          <w:rFonts w:hint="eastAsia"/>
          <w:lang w:val="en-US" w:eastAsia="zh-CN"/>
        </w:rPr>
      </w:pPr>
      <w:r>
        <w:rPr>
          <w:rFonts w:hint="eastAsia"/>
          <w:lang w:val="en-US" w:eastAsia="zh-CN"/>
        </w:rPr>
        <w:t xml:space="preserve">if EMW is configured and fully overlapped with MG, and the periodicity of MG and EMW is same, or  if EMW is not configured. </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u w:val="single"/>
          <w:lang w:val="en-US" w:eastAsia="ko-KR"/>
        </w:rPr>
      </w:pPr>
      <w:r>
        <w:rPr>
          <w:rFonts w:hint="eastAsia"/>
          <w:lang w:val="en-US" w:eastAsia="zh-CN"/>
        </w:rPr>
        <w:t>However, there is still one scenario left, i.e. EMW is configured and fully overlapped with MG, but the periodicity of MG is smaller than EMW,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bidi w:val="0"/>
              <w:rPr>
                <w:rFonts w:hint="eastAsia"/>
                <w:vertAlign w:val="baseline"/>
                <w:lang w:val="en-US" w:eastAsia="zh-CN"/>
              </w:rPr>
            </w:pPr>
            <w:r>
              <w:rPr>
                <w:rFonts w:hint="default" w:ascii="Calibri" w:hAnsi="Calibri" w:cs="Calibri"/>
              </w:rPr>
              <w:t>FFS if EMW is configured and fully overlapped with MG, but the periodicity of MG is smaller than EMW</w:t>
            </w:r>
          </w:p>
        </w:tc>
      </w:tr>
    </w:tbl>
    <w:p>
      <w:pPr>
        <w:keepNext w:val="0"/>
        <w:keepLines w:val="0"/>
        <w:pageBreakBefore w:val="0"/>
        <w:widowControl/>
        <w:kinsoku/>
        <w:wordWrap/>
        <w:overflowPunct/>
        <w:topLinePunct w:val="0"/>
        <w:autoSpaceDE/>
        <w:autoSpaceDN/>
        <w:bidi w:val="0"/>
        <w:adjustRightInd/>
        <w:snapToGrid/>
        <w:spacing w:before="120"/>
        <w:jc w:val="both"/>
        <w:textAlignment w:val="auto"/>
        <w:rPr>
          <w:rFonts w:hint="eastAsia"/>
          <w:lang w:val="en-US" w:eastAsia="zh-CN"/>
        </w:rPr>
      </w:pPr>
      <w:r>
        <w:rPr>
          <w:rFonts w:hint="eastAsia"/>
          <w:lang w:val="en-US" w:eastAsia="zh-CN"/>
        </w:rPr>
        <w:t>Since the effective measurement window is fully overlapped with measurement gap, the inter-RAT LTE measurement with scheduling restriction can only be performed within the measurement gap. However, the key point is whether the collided occasions are shared by measurement with gap and inter-RAT LTE measurement with scheduling restriction. Generally, there are the following two options:</w:t>
      </w:r>
    </w:p>
    <w:p>
      <w:pPr>
        <w:bidi w:val="0"/>
        <w:jc w:val="both"/>
        <w:rPr>
          <w:rFonts w:hint="default"/>
          <w:lang w:val="en-US" w:eastAsia="zh-CN"/>
        </w:rPr>
      </w:pPr>
      <w:r>
        <w:rPr>
          <w:rFonts w:hint="eastAsia"/>
          <w:lang w:val="en-US" w:eastAsia="zh-CN"/>
        </w:rPr>
        <w:t xml:space="preserve">Option 1: The collided occasions are used by inter-RAT LTE measurements causing scheduling restriction alone. </w:t>
      </w:r>
    </w:p>
    <w:p>
      <w:pPr>
        <w:bidi w:val="0"/>
        <w:jc w:val="both"/>
        <w:rPr>
          <w:rFonts w:hint="eastAsia"/>
          <w:lang w:val="en-US" w:eastAsia="zh-CN"/>
        </w:rPr>
      </w:pPr>
      <w:r>
        <w:rPr>
          <w:rFonts w:hint="eastAsia"/>
          <w:lang w:val="en-US" w:eastAsia="zh-CN"/>
        </w:rPr>
        <w:t>Option 2: The collided occasions are shared by measurements with gap and inter-RAT LTE measurements causing scheduling restriction.</w:t>
      </w:r>
    </w:p>
    <w:p>
      <w:pPr>
        <w:keepNext w:val="0"/>
        <w:keepLines w:val="0"/>
        <w:pageBreakBefore w:val="0"/>
        <w:widowControl/>
        <w:kinsoku/>
        <w:wordWrap/>
        <w:overflowPunct/>
        <w:topLinePunct w:val="0"/>
        <w:autoSpaceDE/>
        <w:autoSpaceDN/>
        <w:bidi w:val="0"/>
        <w:adjustRightInd/>
        <w:snapToGrid/>
        <w:spacing w:after="120"/>
        <w:textAlignment w:val="auto"/>
        <w:rPr>
          <w:rFonts w:hint="default"/>
          <w:lang w:val="en-US" w:eastAsia="zh-CN"/>
        </w:rPr>
      </w:pPr>
      <w:r>
        <w:rPr>
          <w:rFonts w:hint="eastAsia"/>
          <w:lang w:val="en-US" w:eastAsia="zh-CN"/>
        </w:rPr>
        <w:t xml:space="preserve">In our understanding, option 2 is preferred. Considering the case that the SMTC of MO1 fully overlaps with EMW, at least MO1 needs to share the collided occasions with EMW. </w:t>
      </w:r>
    </w:p>
    <w:p>
      <w:pPr>
        <w:bidi w:val="0"/>
        <w:jc w:val="both"/>
        <w:rPr>
          <w:rFonts w:hint="eastAsia"/>
          <w:b/>
          <w:bCs/>
          <w:lang w:val="en-US" w:eastAsia="zh-CN"/>
        </w:rPr>
      </w:pPr>
      <w:r>
        <w:rPr>
          <w:rFonts w:hint="eastAsia"/>
          <w:b/>
          <w:bCs/>
          <w:lang w:val="en-US" w:eastAsia="zh-CN"/>
        </w:rPr>
        <w:t>Proposal 5: For case b-1 and case b-2, when MG is partially overlapped with EMW (EMW periodicity &gt; MGRP), the inter-RAT LTE measurement with scheduling restriction is performed within MG, and the collided occasions are shared by inter-RAT LTE measurements and measurements with gap.</w:t>
      </w:r>
    </w:p>
    <w:p>
      <w:pPr>
        <w:bidi w:val="0"/>
        <w:rPr>
          <w:rFonts w:hint="default"/>
          <w:lang w:val="en-US" w:eastAsia="zh-CN"/>
        </w:rPr>
      </w:pPr>
    </w:p>
    <w:p>
      <w:pPr>
        <w:keepNext w:val="0"/>
        <w:keepLines w:val="0"/>
        <w:pageBreakBefore w:val="0"/>
        <w:widowControl/>
        <w:kinsoku/>
        <w:wordWrap/>
        <w:overflowPunct/>
        <w:topLinePunct w:val="0"/>
        <w:autoSpaceDE/>
        <w:autoSpaceDN/>
        <w:bidi w:val="0"/>
        <w:adjustRightInd/>
        <w:snapToGrid/>
        <w:spacing w:after="120"/>
        <w:textAlignment w:val="auto"/>
        <w:rPr>
          <w:b w:val="0"/>
          <w:bCs/>
          <w:u w:val="single"/>
          <w:lang w:eastAsia="ko-KR"/>
        </w:rPr>
      </w:pPr>
      <w:r>
        <w:rPr>
          <w:b w:val="0"/>
          <w:bCs/>
          <w:u w:val="single"/>
          <w:lang w:eastAsia="ko-KR"/>
        </w:rPr>
        <w:t>Issue 2-4-4: Scaling factor for case b-1 and b-2</w:t>
      </w:r>
    </w:p>
    <w:p>
      <w:pPr>
        <w:pStyle w:val="29"/>
        <w:numPr>
          <w:ilvl w:val="0"/>
          <w:numId w:val="0"/>
        </w:numPr>
        <w:overflowPunct/>
        <w:autoSpaceDE/>
        <w:adjustRightInd/>
        <w:spacing w:after="120"/>
        <w:textAlignment w:val="auto"/>
        <w:rPr>
          <w:rFonts w:hint="default" w:ascii="Arial" w:hAnsi="Arial" w:eastAsia="宋体" w:cs="Arial"/>
          <w:sz w:val="20"/>
          <w:szCs w:val="20"/>
          <w:lang w:val="en-US" w:eastAsia="zh-CN"/>
        </w:rPr>
      </w:pPr>
      <w:r>
        <w:rPr>
          <w:rFonts w:hint="default" w:ascii="Arial" w:hAnsi="Arial" w:cs="Arial"/>
          <w:sz w:val="20"/>
          <w:szCs w:val="20"/>
          <w:lang w:val="en-US" w:eastAsia="zh-CN"/>
        </w:rPr>
        <w:t>For scaling factor for case b-1 and case b-2, there are the following options proposed in the last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1"/>
                <w:numId w:val="3"/>
              </w:numPr>
              <w:spacing w:after="120"/>
              <w:ind w:firstLineChars="0"/>
              <w:textAlignment w:val="auto"/>
            </w:pPr>
            <w:r>
              <w:t>Option 1: Update CSSFinterRAT = CSSFouside_gap,i to take the inter-RAT LTE MOs with no measurement gap in to consideration.</w:t>
            </w:r>
          </w:p>
          <w:p>
            <w:pPr>
              <w:pStyle w:val="29"/>
              <w:numPr>
                <w:ilvl w:val="1"/>
                <w:numId w:val="3"/>
              </w:numPr>
              <w:spacing w:after="120"/>
              <w:ind w:firstLineChars="0"/>
              <w:textAlignment w:val="auto"/>
            </w:pPr>
            <w:r>
              <w:t>Option 2:</w:t>
            </w:r>
          </w:p>
          <w:p>
            <w:pPr>
              <w:pStyle w:val="29"/>
              <w:numPr>
                <w:ilvl w:val="2"/>
                <w:numId w:val="3"/>
              </w:numPr>
              <w:spacing w:after="120"/>
              <w:ind w:firstLineChars="0"/>
              <w:textAlignment w:val="auto"/>
            </w:pPr>
            <w:r>
              <w:t>In case b-1, RAN4 to define CSSF_(interRAT,gapless) equaling CSSF_(outside_gap) which additionally includes the number of inter-RAT LTE gapless measurement Mos</w:t>
            </w:r>
          </w:p>
          <w:p>
            <w:pPr>
              <w:pStyle w:val="29"/>
              <w:numPr>
                <w:ilvl w:val="2"/>
                <w:numId w:val="3"/>
              </w:numPr>
              <w:spacing w:after="120"/>
              <w:ind w:firstLineChars="0"/>
              <w:textAlignment w:val="auto"/>
            </w:pPr>
            <w:r>
              <w:t>In case b-2, RAN4 to define CSSF_(interRAT,gapless) which equals the number of configured inter-RAT LTE MOs within the active NR BWP</w:t>
            </w:r>
          </w:p>
          <w:p>
            <w:pPr>
              <w:pStyle w:val="29"/>
              <w:numPr>
                <w:ilvl w:val="1"/>
                <w:numId w:val="3"/>
              </w:numPr>
              <w:spacing w:after="120"/>
              <w:ind w:firstLineChars="0"/>
              <w:textAlignment w:val="auto"/>
              <w:rPr>
                <w:rFonts w:hint="default"/>
                <w:vertAlign w:val="baseline"/>
                <w:lang w:val="en-US" w:eastAsia="zh-CN"/>
              </w:rPr>
            </w:pPr>
            <w:r>
              <w:t>Option 3: CSSFinterRAT is defined as CSSF outside MG, and inter-RAT carriers measured without MG are counted in CSSF outside MG</w:t>
            </w:r>
          </w:p>
        </w:tc>
      </w:tr>
    </w:tbl>
    <w:p>
      <w:pPr>
        <w:keepNext w:val="0"/>
        <w:keepLines w:val="0"/>
        <w:pageBreakBefore w:val="0"/>
        <w:widowControl/>
        <w:kinsoku/>
        <w:wordWrap/>
        <w:overflowPunct/>
        <w:topLinePunct w:val="0"/>
        <w:autoSpaceDE/>
        <w:autoSpaceDN/>
        <w:bidi w:val="0"/>
        <w:adjustRightInd/>
        <w:snapToGrid/>
        <w:spacing w:before="120" w:after="120"/>
        <w:textAlignment w:val="auto"/>
        <w:rPr>
          <w:rFonts w:hint="eastAsia"/>
          <w:lang w:val="en-US" w:eastAsia="zh-CN"/>
        </w:rPr>
      </w:pPr>
      <w:r>
        <w:rPr>
          <w:rFonts w:hint="eastAsia"/>
          <w:lang w:val="en-US" w:eastAsia="zh-CN"/>
        </w:rPr>
        <w:t>In our understanding, the calculation of the scaling factor can be discussed based on the following cases:</w:t>
      </w:r>
    </w:p>
    <w:p>
      <w:pPr>
        <w:numPr>
          <w:ilvl w:val="0"/>
          <w:numId w:val="9"/>
        </w:numPr>
        <w:bidi w:val="0"/>
        <w:ind w:left="420" w:leftChars="0" w:hanging="420" w:firstLineChars="0"/>
        <w:rPr>
          <w:rFonts w:hint="eastAsia"/>
          <w:lang w:val="en-US" w:eastAsia="zh-CN"/>
        </w:rPr>
      </w:pPr>
      <w:r>
        <w:rPr>
          <w:rFonts w:hint="eastAsia"/>
          <w:lang w:val="en-US" w:eastAsia="zh-CN"/>
        </w:rPr>
        <w:t>Case 1: Effective measurement window is not configured</w:t>
      </w:r>
    </w:p>
    <w:p>
      <w:pPr>
        <w:bidi w:val="0"/>
        <w:rPr>
          <w:rFonts w:hint="default"/>
          <w:lang w:val="en-US" w:eastAsia="zh-CN"/>
        </w:rPr>
      </w:pPr>
      <w:r>
        <w:rPr>
          <w:rFonts w:hint="eastAsia"/>
          <w:lang w:val="en-US" w:eastAsia="zh-CN"/>
        </w:rPr>
        <w:t>In this case, inter-RAT LTE measurement causing scheduling restriction is performed within MG as legacy. Considering inter-RAT LTE measurement is already considered in the calculation of CSSF</w:t>
      </w:r>
      <w:r>
        <w:rPr>
          <w:rFonts w:hint="eastAsia"/>
          <w:vertAlign w:val="subscript"/>
          <w:lang w:val="en-US" w:eastAsia="zh-CN"/>
        </w:rPr>
        <w:t>within_gap</w:t>
      </w:r>
      <w:r>
        <w:rPr>
          <w:rFonts w:hint="eastAsia"/>
          <w:vertAlign w:val="baseline"/>
          <w:lang w:val="en-US" w:eastAsia="zh-CN"/>
        </w:rPr>
        <w:t xml:space="preserve">, </w:t>
      </w:r>
      <w:r>
        <w:rPr>
          <w:rFonts w:hint="eastAsia"/>
          <w:lang w:val="en-US" w:eastAsia="zh-CN"/>
        </w:rPr>
        <w:t>the scaling factor for case b-1 and case b-2 can directly reuse CSSF</w:t>
      </w:r>
      <w:r>
        <w:rPr>
          <w:rFonts w:hint="eastAsia"/>
          <w:vertAlign w:val="subscript"/>
          <w:lang w:val="en-US" w:eastAsia="zh-CN"/>
        </w:rPr>
        <w:t>within_gap</w:t>
      </w:r>
      <w:r>
        <w:rPr>
          <w:rFonts w:hint="eastAsia"/>
          <w:lang w:val="en-US" w:eastAsia="zh-CN"/>
        </w:rPr>
        <w:t>.</w:t>
      </w:r>
    </w:p>
    <w:p>
      <w:pPr>
        <w:numPr>
          <w:ilvl w:val="0"/>
          <w:numId w:val="9"/>
        </w:numPr>
        <w:bidi w:val="0"/>
        <w:ind w:left="420" w:leftChars="0" w:hanging="420" w:firstLineChars="0"/>
        <w:rPr>
          <w:rFonts w:hint="eastAsia"/>
          <w:lang w:val="en-US" w:eastAsia="zh-CN"/>
        </w:rPr>
      </w:pPr>
      <w:r>
        <w:rPr>
          <w:rFonts w:hint="eastAsia"/>
          <w:lang w:val="en-US" w:eastAsia="zh-CN"/>
        </w:rPr>
        <w:t xml:space="preserve">Case 2: Effective measurement window is configured, and is fully overlapped with measurement gap. </w:t>
      </w:r>
    </w:p>
    <w:p>
      <w:pPr>
        <w:bidi w:val="0"/>
        <w:rPr>
          <w:rFonts w:hint="eastAsia"/>
          <w:lang w:val="en-US" w:eastAsia="zh-CN"/>
        </w:rPr>
      </w:pPr>
      <w:r>
        <w:rPr>
          <w:rFonts w:hint="eastAsia"/>
          <w:lang w:val="en-US" w:eastAsia="zh-CN"/>
        </w:rPr>
        <w:t>Similarly, in this case, legacy CSSF</w:t>
      </w:r>
      <w:r>
        <w:rPr>
          <w:rFonts w:hint="eastAsia"/>
          <w:vertAlign w:val="subscript"/>
          <w:lang w:val="en-US" w:eastAsia="zh-CN"/>
        </w:rPr>
        <w:t>within_gap</w:t>
      </w:r>
      <w:r>
        <w:rPr>
          <w:rFonts w:hint="eastAsia"/>
          <w:lang w:val="en-US" w:eastAsia="zh-CN"/>
        </w:rPr>
        <w:t xml:space="preserve"> can be reused.</w:t>
      </w:r>
    </w:p>
    <w:p>
      <w:pPr>
        <w:numPr>
          <w:ilvl w:val="0"/>
          <w:numId w:val="9"/>
        </w:numPr>
        <w:bidi w:val="0"/>
        <w:ind w:left="420" w:leftChars="0" w:hanging="420" w:firstLineChars="0"/>
        <w:rPr>
          <w:rFonts w:hint="default"/>
          <w:lang w:val="en-US" w:eastAsia="zh-CN"/>
        </w:rPr>
      </w:pPr>
      <w:r>
        <w:rPr>
          <w:rFonts w:hint="eastAsia"/>
          <w:lang w:val="en-US" w:eastAsia="zh-CN"/>
        </w:rPr>
        <w:t>Case 3: Effective measurement window is configured, and is partially overlapped with measurement gap (EMW periodicity &lt; MGRP)</w:t>
      </w:r>
    </w:p>
    <w:p>
      <w:pPr>
        <w:bidi w:val="0"/>
        <w:jc w:val="both"/>
        <w:rPr>
          <w:rFonts w:hint="eastAsia"/>
          <w:lang w:val="en-US" w:eastAsia="zh-CN"/>
        </w:rPr>
      </w:pPr>
      <w:r>
        <w:rPr>
          <w:rFonts w:hint="eastAsia"/>
          <w:lang w:val="en-US" w:eastAsia="zh-CN"/>
        </w:rPr>
        <w:t>In this case, only some of the effective measurement window is applicable. Similar to the case that intra/inter-freq measurement without gap is overlapped with measurement gap, an additional scaling factor kp is needed, where Kp is calculated by dividing the total number of EMW by available EMW number outside gap. And another scaling factor is needed to handle the collision between different inter-RAT LTE measurements, and this scaling factor is equal to the number of inter-RAT LTE no-gap MOs.</w:t>
      </w:r>
    </w:p>
    <w:p>
      <w:pPr>
        <w:numPr>
          <w:ilvl w:val="0"/>
          <w:numId w:val="9"/>
        </w:numPr>
        <w:bidi w:val="0"/>
        <w:ind w:left="420" w:leftChars="0" w:hanging="420" w:firstLineChars="0"/>
        <w:rPr>
          <w:rFonts w:hint="eastAsia"/>
          <w:lang w:val="en-US" w:eastAsia="zh-CN"/>
        </w:rPr>
      </w:pPr>
      <w:r>
        <w:rPr>
          <w:rFonts w:hint="eastAsia"/>
          <w:lang w:val="en-US" w:eastAsia="zh-CN"/>
        </w:rPr>
        <w:t>Case 4: Effective measurement window is configured, and is fully partially overlapped with measurement gap (EMW periodicity &gt; MGRP)</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lang w:val="en-US" w:eastAsia="zh-CN"/>
        </w:rPr>
      </w:pPr>
      <w:r>
        <w:rPr>
          <w:rFonts w:hint="eastAsia"/>
          <w:lang w:val="en-US" w:eastAsia="zh-CN"/>
        </w:rPr>
        <w:t>As discussed above, we think the collided occasions are shared by inter-RAT LTE MO and measurements with ga</w:t>
      </w:r>
      <w:r>
        <w:rPr>
          <w:rFonts w:hint="eastAsia"/>
          <w:color w:val="auto"/>
          <w:lang w:val="en-US" w:eastAsia="zh-CN"/>
        </w:rPr>
        <w:t>p. And CSSF within gap can be used here.</w:t>
      </w:r>
    </w:p>
    <w:p>
      <w:pPr>
        <w:bidi w:val="0"/>
        <w:rPr>
          <w:rFonts w:hint="eastAsia"/>
          <w:b/>
          <w:bCs/>
          <w:lang w:val="en-US" w:eastAsia="zh-CN"/>
        </w:rPr>
      </w:pPr>
      <w:r>
        <w:rPr>
          <w:rFonts w:hint="eastAsia"/>
          <w:b/>
          <w:bCs/>
          <w:lang w:val="en-US" w:eastAsia="zh-CN"/>
        </w:rPr>
        <w:t xml:space="preserve">Proposal 6: </w:t>
      </w:r>
    </w:p>
    <w:p>
      <w:pPr>
        <w:bidi w:val="0"/>
        <w:jc w:val="both"/>
        <w:rPr>
          <w:rFonts w:hint="eastAsia"/>
          <w:b/>
          <w:bCs/>
          <w:lang w:val="en-US" w:eastAsia="zh-CN"/>
        </w:rPr>
      </w:pPr>
      <w:r>
        <w:rPr>
          <w:rFonts w:hint="eastAsia"/>
          <w:b/>
          <w:bCs/>
          <w:lang w:val="en-US" w:eastAsia="zh-CN"/>
        </w:rPr>
        <w:t>The definition of scaling factor for case b-1 and case b-2 is as follows:</w:t>
      </w:r>
    </w:p>
    <w:p>
      <w:pPr>
        <w:numPr>
          <w:ilvl w:val="0"/>
          <w:numId w:val="10"/>
        </w:numPr>
        <w:bidi w:val="0"/>
        <w:ind w:left="420" w:leftChars="0" w:hanging="420" w:firstLineChars="0"/>
        <w:jc w:val="both"/>
        <w:rPr>
          <w:rFonts w:hint="eastAsia"/>
          <w:b/>
          <w:bCs/>
          <w:vertAlign w:val="subscript"/>
          <w:lang w:val="en-US" w:eastAsia="zh-CN"/>
        </w:rPr>
      </w:pPr>
      <w:r>
        <w:rPr>
          <w:rFonts w:hint="eastAsia"/>
          <w:b/>
          <w:bCs/>
          <w:lang w:val="en-US" w:eastAsia="zh-CN"/>
        </w:rPr>
        <w:t>In the case that EMW is not configured or EMW is configured and fully overlapped with measurement gap, reuse the existing scaling factor CSSF</w:t>
      </w:r>
      <w:r>
        <w:rPr>
          <w:rFonts w:hint="eastAsia"/>
          <w:b/>
          <w:bCs/>
          <w:vertAlign w:val="subscript"/>
          <w:lang w:val="en-US" w:eastAsia="zh-CN"/>
        </w:rPr>
        <w:t>within_gap.</w:t>
      </w:r>
    </w:p>
    <w:p>
      <w:pPr>
        <w:numPr>
          <w:ilvl w:val="0"/>
          <w:numId w:val="9"/>
        </w:numPr>
        <w:bidi w:val="0"/>
        <w:ind w:left="420" w:leftChars="0" w:hanging="420" w:firstLineChars="0"/>
        <w:jc w:val="both"/>
        <w:rPr>
          <w:rFonts w:hint="eastAsia"/>
          <w:lang w:val="en-US" w:eastAsia="zh-CN"/>
        </w:rPr>
      </w:pPr>
      <w:r>
        <w:rPr>
          <w:rFonts w:hint="eastAsia"/>
          <w:b/>
          <w:bCs/>
          <w:vertAlign w:val="baseline"/>
          <w:lang w:val="en-US" w:eastAsia="zh-CN"/>
        </w:rPr>
        <w:t>In the case that EMW is configured, and is partially overlapped with measurement gap (EMW periodicity&lt; MGRP), introduce a new scaling factor Kp to handle the collision between EMW and MG, where</w:t>
      </w:r>
      <w:r>
        <w:rPr>
          <w:rFonts w:hint="eastAsia"/>
          <w:b/>
          <w:bCs/>
          <w:lang w:val="en-US" w:eastAsia="zh-CN"/>
        </w:rPr>
        <w:t xml:space="preserve"> Kp is calculated by dividing the total number of EMW by available EMW number outside gap. And to handle the collision between different inter-RAT LTE measurement, introduce a scaling factor, which is equal to the number of inter-RAT LTE gapless MOs.</w:t>
      </w:r>
    </w:p>
    <w:p>
      <w:pPr>
        <w:numPr>
          <w:ilvl w:val="0"/>
          <w:numId w:val="9"/>
        </w:numPr>
        <w:bidi w:val="0"/>
        <w:ind w:left="420" w:leftChars="0" w:hanging="420" w:firstLineChars="0"/>
        <w:jc w:val="both"/>
        <w:rPr>
          <w:rFonts w:hint="default"/>
          <w:color w:val="auto"/>
          <w:lang w:val="en-US" w:eastAsia="zh-CN"/>
        </w:rPr>
      </w:pPr>
      <w:r>
        <w:rPr>
          <w:rFonts w:hint="eastAsia"/>
          <w:b/>
          <w:bCs/>
          <w:lang w:val="en-US" w:eastAsia="zh-CN"/>
        </w:rPr>
        <w:t xml:space="preserve">In the case that </w:t>
      </w:r>
      <w:r>
        <w:rPr>
          <w:rFonts w:hint="eastAsia"/>
          <w:b/>
          <w:bCs/>
          <w:vertAlign w:val="baseline"/>
          <w:lang w:val="en-US" w:eastAsia="zh-CN"/>
        </w:rPr>
        <w:t>EMW</w:t>
      </w:r>
      <w:r>
        <w:rPr>
          <w:rFonts w:hint="eastAsia"/>
          <w:b/>
          <w:bCs/>
          <w:color w:val="auto"/>
          <w:vertAlign w:val="baseline"/>
          <w:lang w:val="en-US" w:eastAsia="zh-CN"/>
        </w:rPr>
        <w:t xml:space="preserve"> is configured, and is partially overlapped with measurement gap (EMW periodicity &gt; MGRP), use the existing CSSF within gap.</w:t>
      </w:r>
    </w:p>
    <w:p>
      <w:pPr>
        <w:bidi w:val="0"/>
        <w:rPr>
          <w:rFonts w:hint="default"/>
          <w:lang w:val="en-US" w:eastAsia="zh-CN"/>
        </w:rPr>
      </w:pPr>
    </w:p>
    <w:p>
      <w:pPr>
        <w:bidi w:val="0"/>
        <w:rPr>
          <w:rFonts w:hint="default"/>
          <w:lang w:val="en-US" w:eastAsia="zh-CN"/>
        </w:rPr>
      </w:pPr>
    </w:p>
    <w:p>
      <w:pPr>
        <w:keepNext w:val="0"/>
        <w:keepLines w:val="0"/>
        <w:pageBreakBefore w:val="0"/>
        <w:widowControl/>
        <w:kinsoku/>
        <w:wordWrap/>
        <w:overflowPunct/>
        <w:topLinePunct w:val="0"/>
        <w:autoSpaceDE/>
        <w:autoSpaceDN/>
        <w:bidi w:val="0"/>
        <w:adjustRightInd/>
        <w:snapToGrid w:val="0"/>
        <w:spacing w:after="120"/>
        <w:textAlignment w:val="auto"/>
        <w:outlineLvl w:val="1"/>
      </w:pPr>
      <w:r>
        <w:rPr>
          <w:rFonts w:hint="eastAsia" w:ascii="Arial" w:hAnsi="Arial" w:eastAsia="宋体" w:cs="Arial"/>
          <w:b/>
          <w:bCs/>
          <w:color w:val="auto"/>
          <w:sz w:val="24"/>
          <w:szCs w:val="16"/>
          <w:lang w:val="en-US" w:eastAsia="zh-CN"/>
        </w:rPr>
        <w:t>2.3 UE capabilities</w:t>
      </w:r>
    </w:p>
    <w:p>
      <w:pPr>
        <w:keepNext w:val="0"/>
        <w:keepLines w:val="0"/>
        <w:pageBreakBefore w:val="0"/>
        <w:widowControl/>
        <w:kinsoku/>
        <w:wordWrap/>
        <w:overflowPunct/>
        <w:topLinePunct w:val="0"/>
        <w:autoSpaceDE/>
        <w:autoSpaceDN/>
        <w:bidi w:val="0"/>
        <w:adjustRightInd/>
        <w:snapToGrid/>
        <w:spacing w:after="120"/>
        <w:textAlignment w:val="auto"/>
        <w:rPr>
          <w:b w:val="0"/>
          <w:bCs/>
          <w:u w:val="single"/>
          <w:lang w:eastAsia="ko-KR"/>
        </w:rPr>
      </w:pPr>
      <w:r>
        <w:rPr>
          <w:b w:val="0"/>
          <w:bCs/>
          <w:u w:val="single"/>
          <w:lang w:eastAsia="ko-KR"/>
        </w:rPr>
        <w:t xml:space="preserve">Issue 2-5-1: Reporting of UE capability interRAT-NeedForIntrNR-r18 </w:t>
      </w:r>
    </w:p>
    <w:p>
      <w:pPr>
        <w:bidi w:val="0"/>
        <w:rPr>
          <w:rFonts w:hint="eastAsia"/>
          <w:lang w:val="en-US" w:eastAsia="zh-CN"/>
        </w:rPr>
      </w:pPr>
      <w:r>
        <w:rPr>
          <w:rFonts w:hint="eastAsia"/>
          <w:lang w:val="en-US" w:eastAsia="zh-CN"/>
        </w:rPr>
        <w:t>For this issue, the following two options were proposed: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1"/>
                <w:numId w:val="3"/>
              </w:numPr>
              <w:spacing w:after="120"/>
              <w:ind w:firstLineChars="0"/>
              <w:textAlignment w:val="auto"/>
            </w:pPr>
            <w:r>
              <w:t>Option 1: Reporting of interRAT-NeedForIntrNR-r18 capability should be done based on network request.</w:t>
            </w:r>
          </w:p>
          <w:p>
            <w:pPr>
              <w:pStyle w:val="29"/>
              <w:numPr>
                <w:ilvl w:val="1"/>
                <w:numId w:val="3"/>
              </w:numPr>
              <w:spacing w:after="120"/>
              <w:ind w:firstLineChars="0"/>
              <w:textAlignment w:val="auto"/>
              <w:rPr>
                <w:rFonts w:hint="default"/>
                <w:vertAlign w:val="baseline"/>
                <w:lang w:val="en-US" w:eastAsia="zh-CN"/>
              </w:rPr>
            </w:pPr>
            <w:r>
              <w:t>Option 2: Do not further discuss this issue.</w:t>
            </w:r>
          </w:p>
        </w:tc>
      </w:tr>
    </w:tbl>
    <w:p>
      <w:pPr>
        <w:keepNext w:val="0"/>
        <w:keepLines w:val="0"/>
        <w:pageBreakBefore w:val="0"/>
        <w:widowControl/>
        <w:kinsoku/>
        <w:wordWrap/>
        <w:overflowPunct/>
        <w:topLinePunct w:val="0"/>
        <w:autoSpaceDE/>
        <w:autoSpaceDN/>
        <w:bidi w:val="0"/>
        <w:adjustRightInd/>
        <w:snapToGrid/>
        <w:spacing w:after="120"/>
        <w:textAlignment w:val="auto"/>
        <w:rPr>
          <w:rFonts w:hint="default"/>
          <w:lang w:val="en-US" w:eastAsia="zh-CN"/>
        </w:rPr>
      </w:pPr>
      <w:r>
        <w:rPr>
          <w:rFonts w:hint="eastAsia"/>
          <w:lang w:val="en-US" w:eastAsia="zh-CN"/>
        </w:rPr>
        <w:t xml:space="preserve">Actually, the </w:t>
      </w:r>
      <w:r>
        <w:rPr>
          <w:rFonts w:hint="eastAsia"/>
          <w:i/>
          <w:iCs/>
          <w:lang w:val="en-US" w:eastAsia="zh-CN"/>
        </w:rPr>
        <w:t>interRAT-NeedForIntrNR-r18</w:t>
      </w:r>
      <w:r>
        <w:rPr>
          <w:rFonts w:hint="eastAsia"/>
          <w:lang w:val="en-US" w:eastAsia="zh-CN"/>
        </w:rPr>
        <w:t xml:space="preserve"> is a UE capability and would be sent to the network in the registration procedure. Thus, we don</w:t>
      </w:r>
      <w:r>
        <w:rPr>
          <w:rFonts w:hint="default"/>
          <w:lang w:val="en-US" w:eastAsia="zh-CN"/>
        </w:rPr>
        <w:t>’</w:t>
      </w:r>
      <w:r>
        <w:rPr>
          <w:rFonts w:hint="eastAsia"/>
          <w:lang w:val="en-US" w:eastAsia="zh-CN"/>
        </w:rPr>
        <w:t>t need to further discuss this issue.</w:t>
      </w:r>
    </w:p>
    <w:p>
      <w:pPr>
        <w:bidi w:val="0"/>
        <w:rPr>
          <w:rFonts w:hint="eastAsia"/>
          <w:b/>
          <w:bCs/>
          <w:lang w:val="en-US" w:eastAsia="zh-CN"/>
        </w:rPr>
      </w:pPr>
      <w:r>
        <w:rPr>
          <w:rFonts w:hint="eastAsia"/>
          <w:b/>
          <w:bCs/>
          <w:lang w:val="en-US" w:eastAsia="zh-CN"/>
        </w:rPr>
        <w:t xml:space="preserve">Proposal 7: Do not further discuss how to report UE capability </w:t>
      </w:r>
      <w:r>
        <w:rPr>
          <w:rFonts w:hint="eastAsia"/>
          <w:b/>
          <w:bCs/>
          <w:i/>
          <w:iCs/>
          <w:lang w:val="en-US" w:eastAsia="zh-CN"/>
        </w:rPr>
        <w:t>interRAT-NeedForIntrNR-r18</w:t>
      </w:r>
      <w:r>
        <w:rPr>
          <w:rFonts w:hint="eastAsia"/>
          <w:b/>
          <w:bCs/>
          <w:lang w:val="en-US" w:eastAsia="zh-CN"/>
        </w:rPr>
        <w:t>.</w:t>
      </w:r>
    </w:p>
    <w:p>
      <w:pPr>
        <w:bidi w:val="0"/>
        <w:rPr>
          <w:rFonts w:hint="default" w:ascii="Arial" w:hAnsi="Arial" w:cs="Arial"/>
          <w:b w:val="0"/>
          <w:bCs w:val="0"/>
          <w:lang w:val="en-US" w:eastAsia="zh-CN"/>
        </w:rPr>
      </w:pPr>
    </w:p>
    <w:p>
      <w:pPr>
        <w:keepNext w:val="0"/>
        <w:keepLines w:val="0"/>
        <w:pageBreakBefore w:val="0"/>
        <w:widowControl/>
        <w:kinsoku/>
        <w:wordWrap/>
        <w:overflowPunct/>
        <w:topLinePunct w:val="0"/>
        <w:autoSpaceDE/>
        <w:autoSpaceDN/>
        <w:bidi w:val="0"/>
        <w:adjustRightInd/>
        <w:snapToGrid/>
        <w:spacing w:after="120"/>
        <w:textAlignment w:val="auto"/>
        <w:rPr>
          <w:b w:val="0"/>
          <w:bCs/>
          <w:u w:val="single"/>
          <w:lang w:eastAsia="ko-KR"/>
        </w:rPr>
      </w:pPr>
      <w:r>
        <w:rPr>
          <w:b w:val="0"/>
          <w:bCs/>
          <w:u w:val="single"/>
          <w:lang w:eastAsia="ko-KR"/>
        </w:rPr>
        <w:t xml:space="preserve">Issue 2-5-2: Introduction of new UE capabilities for supporting EMW </w:t>
      </w:r>
    </w:p>
    <w:p>
      <w:pPr>
        <w:rPr>
          <w:rFonts w:hint="eastAsia" w:ascii="Arial" w:hAnsi="Arial" w:cs="Arial"/>
          <w:b w:val="0"/>
          <w:bCs w:val="0"/>
          <w:color w:val="auto"/>
          <w:sz w:val="20"/>
          <w:szCs w:val="20"/>
          <w:lang w:val="en-US" w:eastAsia="zh-CN"/>
        </w:rPr>
      </w:pPr>
      <w:r>
        <w:rPr>
          <w:rFonts w:hint="eastAsia" w:cs="Arial"/>
          <w:b w:val="0"/>
          <w:bCs w:val="0"/>
          <w:color w:val="auto"/>
          <w:sz w:val="20"/>
          <w:szCs w:val="20"/>
          <w:lang w:val="en-US" w:eastAsia="zh-CN"/>
        </w:rPr>
        <w:t>In order to let the network know whether the UE supports EMW, a UE capability for EMW is needed. Generally</w:t>
      </w:r>
      <w:r>
        <w:rPr>
          <w:rFonts w:hint="eastAsia" w:ascii="Arial" w:hAnsi="Arial" w:cs="Arial"/>
          <w:b w:val="0"/>
          <w:bCs w:val="0"/>
          <w:color w:val="auto"/>
          <w:sz w:val="20"/>
          <w:szCs w:val="20"/>
          <w:lang w:val="en-US" w:eastAsia="zh-CN"/>
        </w:rPr>
        <w:t xml:space="preserve">, there are the following two </w:t>
      </w:r>
      <w:r>
        <w:rPr>
          <w:rFonts w:hint="eastAsia" w:cs="Arial"/>
          <w:b w:val="0"/>
          <w:bCs w:val="0"/>
          <w:color w:val="auto"/>
          <w:sz w:val="20"/>
          <w:szCs w:val="20"/>
          <w:lang w:val="en-US" w:eastAsia="zh-CN"/>
        </w:rPr>
        <w:t>options</w:t>
      </w:r>
      <w:r>
        <w:rPr>
          <w:rFonts w:hint="eastAsia" w:ascii="Arial" w:hAnsi="Arial" w:cs="Arial"/>
          <w:b w:val="0"/>
          <w:bCs w:val="0"/>
          <w:color w:val="auto"/>
          <w:sz w:val="20"/>
          <w:szCs w:val="20"/>
          <w:lang w:val="en-US" w:eastAsia="zh-CN"/>
        </w:rPr>
        <w:t>:</w:t>
      </w:r>
    </w:p>
    <w:p>
      <w:pPr>
        <w:rPr>
          <w:rFonts w:hint="eastAsia" w:cs="Arial"/>
          <w:b w:val="0"/>
          <w:bCs w:val="0"/>
          <w:color w:val="auto"/>
          <w:sz w:val="20"/>
          <w:szCs w:val="20"/>
          <w:lang w:val="en-US" w:eastAsia="zh-CN"/>
        </w:rPr>
      </w:pPr>
      <w:r>
        <w:rPr>
          <w:rFonts w:hint="eastAsia" w:cs="Arial"/>
          <w:b w:val="0"/>
          <w:bCs w:val="0"/>
          <w:color w:val="auto"/>
          <w:sz w:val="20"/>
          <w:szCs w:val="20"/>
          <w:lang w:val="en-US" w:eastAsia="zh-CN"/>
        </w:rPr>
        <w:t>Option 1: R</w:t>
      </w:r>
      <w:r>
        <w:rPr>
          <w:rFonts w:hint="eastAsia" w:ascii="Arial" w:hAnsi="Arial" w:cs="Arial"/>
          <w:b w:val="0"/>
          <w:bCs w:val="0"/>
          <w:color w:val="auto"/>
          <w:sz w:val="20"/>
          <w:szCs w:val="20"/>
          <w:lang w:val="en-US" w:eastAsia="zh-CN"/>
        </w:rPr>
        <w:t>euse the capabilities for case b-1 and case b-2</w:t>
      </w:r>
      <w:r>
        <w:rPr>
          <w:rFonts w:hint="eastAsia" w:cs="Arial"/>
          <w:b w:val="0"/>
          <w:bCs w:val="0"/>
          <w:color w:val="auto"/>
          <w:sz w:val="20"/>
          <w:szCs w:val="20"/>
          <w:lang w:val="en-US" w:eastAsia="zh-CN"/>
        </w:rPr>
        <w:t>;</w:t>
      </w:r>
    </w:p>
    <w:p>
      <w:pPr>
        <w:rPr>
          <w:rFonts w:hint="eastAsia" w:cs="Arial"/>
          <w:b w:val="0"/>
          <w:bCs w:val="0"/>
          <w:color w:val="auto"/>
          <w:sz w:val="20"/>
          <w:szCs w:val="20"/>
          <w:lang w:val="en-US" w:eastAsia="zh-CN"/>
        </w:rPr>
      </w:pPr>
      <w:r>
        <w:rPr>
          <w:rFonts w:hint="eastAsia" w:cs="Arial"/>
          <w:b w:val="0"/>
          <w:bCs w:val="0"/>
          <w:color w:val="auto"/>
          <w:sz w:val="20"/>
          <w:szCs w:val="20"/>
          <w:lang w:val="en-US" w:eastAsia="zh-CN"/>
        </w:rPr>
        <w:t>Option 2: Introduce a new UE capability.</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eastAsia="宋体" w:cs="Arial"/>
          <w:szCs w:val="21"/>
          <w:lang w:val="en-US" w:eastAsia="zh-CN"/>
        </w:rPr>
      </w:pPr>
      <w:r>
        <w:rPr>
          <w:rFonts w:hint="eastAsia" w:eastAsia="宋体" w:cs="Arial"/>
          <w:szCs w:val="21"/>
          <w:lang w:val="en-US" w:eastAsia="zh-CN"/>
        </w:rPr>
        <w:t>Since we have agreed to reuse legacy signaling to support case b-1, there is no new UE capability for case b-1. The Rel-18 network can not distinguish the case that Rel-18 UE supporting case b-1 and the legacy UE supporting NCSG but not supporting case b-1. Thus we prefer option 2.</w:t>
      </w:r>
    </w:p>
    <w:p>
      <w:pPr>
        <w:bidi w:val="0"/>
        <w:jc w:val="both"/>
        <w:rPr>
          <w:rFonts w:hint="default" w:eastAsia="宋体" w:cs="Arial"/>
          <w:b/>
          <w:bCs/>
          <w:szCs w:val="21"/>
          <w:lang w:val="en-US" w:eastAsia="zh-CN"/>
        </w:rPr>
      </w:pPr>
      <w:r>
        <w:rPr>
          <w:rFonts w:hint="eastAsia" w:eastAsia="宋体" w:cs="Arial"/>
          <w:b/>
          <w:bCs/>
          <w:szCs w:val="21"/>
          <w:lang w:val="en-US" w:eastAsia="zh-CN"/>
        </w:rPr>
        <w:t>Proposal 8: Introduce a new UE capability to indicate whether the UE supports EMW.</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lang w:val="en-US" w:eastAsia="zh-CN"/>
        </w:rPr>
      </w:pPr>
      <w:r>
        <w:rPr>
          <w:rFonts w:eastAsia="宋体"/>
          <w:color w:val="auto"/>
          <w:lang w:val="en-US" w:eastAsia="zh-CN"/>
        </w:rPr>
        <w:t>Conclusion</w:t>
      </w:r>
    </w:p>
    <w:p>
      <w:pPr>
        <w:pStyle w:val="10"/>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inter-RAT measurement without gaps</w:t>
      </w:r>
      <w:r>
        <w:rPr>
          <w:rFonts w:eastAsia="宋体"/>
          <w:bCs/>
          <w:color w:val="auto"/>
          <w:sz w:val="20"/>
          <w:szCs w:val="20"/>
          <w:lang w:val="en-GB" w:eastAsia="zh-CN"/>
        </w:rPr>
        <w:t>:</w:t>
      </w:r>
    </w:p>
    <w:p>
      <w:pPr>
        <w:bidi w:val="0"/>
        <w:jc w:val="both"/>
        <w:rPr>
          <w:rFonts w:hint="default" w:ascii="Arial" w:hAnsi="Arial" w:eastAsia="宋体" w:cs="Arial"/>
          <w:b/>
          <w:bCs/>
          <w:color w:val="auto"/>
          <w:sz w:val="20"/>
          <w:szCs w:val="20"/>
          <w:lang w:val="en-US" w:eastAsia="zh-CN"/>
        </w:rPr>
      </w:pPr>
      <w:r>
        <w:rPr>
          <w:rFonts w:hint="eastAsia" w:ascii="Arial" w:hAnsi="Arial" w:eastAsia="宋体" w:cs="Arial"/>
          <w:b/>
          <w:bCs/>
          <w:color w:val="auto"/>
          <w:sz w:val="20"/>
          <w:szCs w:val="20"/>
          <w:lang w:val="en-US" w:eastAsia="zh-CN"/>
        </w:rPr>
        <w:t xml:space="preserve">Proposal </w:t>
      </w:r>
      <w:r>
        <w:rPr>
          <w:rFonts w:hint="eastAsia" w:eastAsia="宋体" w:cs="Arial"/>
          <w:b/>
          <w:bCs/>
          <w:color w:val="auto"/>
          <w:sz w:val="20"/>
          <w:szCs w:val="20"/>
          <w:lang w:val="en-US" w:eastAsia="zh-CN"/>
        </w:rPr>
        <w:t>1</w:t>
      </w:r>
      <w:r>
        <w:rPr>
          <w:rFonts w:hint="eastAsia" w:ascii="Arial" w:hAnsi="Arial" w:eastAsia="宋体" w:cs="Arial"/>
          <w:b/>
          <w:bCs/>
          <w:color w:val="auto"/>
          <w:sz w:val="20"/>
          <w:szCs w:val="20"/>
          <w:lang w:val="en-US" w:eastAsia="zh-CN"/>
        </w:rPr>
        <w:t xml:space="preserve">: Introduce </w:t>
      </w:r>
      <w:r>
        <w:rPr>
          <w:rFonts w:hint="eastAsia" w:eastAsia="宋体" w:cs="Arial"/>
          <w:b/>
          <w:bCs/>
          <w:color w:val="auto"/>
          <w:sz w:val="20"/>
          <w:szCs w:val="20"/>
          <w:lang w:val="en-US" w:eastAsia="zh-CN"/>
        </w:rPr>
        <w:t xml:space="preserve">a </w:t>
      </w:r>
      <w:r>
        <w:rPr>
          <w:rFonts w:hint="eastAsia" w:ascii="Arial" w:hAnsi="Arial" w:eastAsia="宋体" w:cs="Arial"/>
          <w:b/>
          <w:bCs/>
          <w:color w:val="auto"/>
          <w:sz w:val="20"/>
          <w:szCs w:val="20"/>
          <w:lang w:val="en-US" w:eastAsia="zh-CN"/>
        </w:rPr>
        <w:t>new UE capability</w:t>
      </w:r>
      <w:r>
        <w:rPr>
          <w:rFonts w:hint="eastAsia"/>
          <w:b/>
          <w:bCs/>
          <w:lang w:val="en-US" w:eastAsia="zh-CN"/>
        </w:rPr>
        <w:t xml:space="preserve"> to indicate whether the UE supports parallel inter-RAT LTE no-gap measurement and data reception from the serving cell with a mixed numerology.</w:t>
      </w:r>
    </w:p>
    <w:p>
      <w:pPr>
        <w:pStyle w:val="10"/>
        <w:bidi w:val="0"/>
        <w:rPr>
          <w:rFonts w:hint="default"/>
          <w:b/>
          <w:bCs/>
          <w:lang w:val="en-US" w:eastAsia="zh-CN"/>
        </w:rPr>
      </w:pPr>
      <w:r>
        <w:rPr>
          <w:rFonts w:hint="eastAsia"/>
          <w:b/>
          <w:bCs/>
          <w:lang w:val="en-US" w:eastAsia="zh-CN"/>
        </w:rPr>
        <w:t>Proposal 2: For case b-2, the scheduling re</w:t>
      </w:r>
      <w:r>
        <w:rPr>
          <w:rFonts w:hint="eastAsia"/>
          <w:b/>
          <w:bCs/>
          <w:color w:val="auto"/>
          <w:lang w:val="en-US" w:eastAsia="zh-CN"/>
        </w:rPr>
        <w:t>striction shall be defined for the UE not supporting the new capability and serving cell and target cell are in the same band with mix</w:t>
      </w:r>
      <w:r>
        <w:rPr>
          <w:rFonts w:hint="eastAsia"/>
          <w:b/>
          <w:bCs/>
          <w:lang w:val="en-US" w:eastAsia="zh-CN"/>
        </w:rPr>
        <w:t>ed SCS.</w:t>
      </w:r>
    </w:p>
    <w:p>
      <w:pPr>
        <w:pStyle w:val="10"/>
        <w:bidi w:val="0"/>
        <w:rPr>
          <w:rFonts w:hint="default" w:ascii="Arial" w:hAnsi="Arial" w:cs="Arial"/>
          <w:b/>
          <w:bCs/>
          <w:lang w:val="en-US" w:eastAsia="zh-CN"/>
        </w:rPr>
      </w:pPr>
      <w:r>
        <w:rPr>
          <w:rFonts w:hint="eastAsia" w:ascii="Arial" w:hAnsi="Arial" w:cs="Arial"/>
          <w:b/>
          <w:bCs/>
          <w:lang w:val="en-US" w:eastAsia="zh-CN"/>
        </w:rPr>
        <w:t>Proposal 3: Specify scheduling restriction when UE does not support simultaneous Tx and Rx on the serving cell and target cell.</w:t>
      </w:r>
    </w:p>
    <w:p>
      <w:pPr>
        <w:pStyle w:val="10"/>
        <w:bidi w:val="0"/>
        <w:rPr>
          <w:rFonts w:hint="eastAsia"/>
          <w:b/>
          <w:bCs/>
          <w:lang w:val="en-US" w:eastAsia="zh-CN"/>
        </w:rPr>
      </w:pPr>
      <w:r>
        <w:rPr>
          <w:rFonts w:hint="eastAsia"/>
          <w:b/>
          <w:bCs/>
          <w:lang w:val="en-US" w:eastAsia="zh-CN"/>
        </w:rPr>
        <w:t xml:space="preserve">Proposal 4: For case b-1, specify scheduling restrictions caused by mixed numerology. </w:t>
      </w:r>
    </w:p>
    <w:p>
      <w:pPr>
        <w:bidi w:val="0"/>
        <w:jc w:val="both"/>
        <w:rPr>
          <w:rFonts w:hint="eastAsia"/>
          <w:b/>
          <w:bCs/>
          <w:lang w:val="en-US" w:eastAsia="zh-CN"/>
        </w:rPr>
      </w:pPr>
      <w:r>
        <w:rPr>
          <w:rFonts w:hint="eastAsia"/>
          <w:b/>
          <w:bCs/>
          <w:lang w:val="en-US" w:eastAsia="zh-CN"/>
        </w:rPr>
        <w:t>Proposal 5: For case b-1 and case b-2, when MG is partially overlapped with EMW (EMW periodicity &gt; MGRP), the inter-RAT LTE measurement with scheduling restriction is performed within MG, and the collided occasions are shared by inter-RAT LTE measurements and measurements with gap.</w:t>
      </w:r>
    </w:p>
    <w:p>
      <w:pPr>
        <w:bidi w:val="0"/>
        <w:jc w:val="both"/>
        <w:rPr>
          <w:rFonts w:hint="eastAsia"/>
          <w:b/>
          <w:bCs/>
          <w:lang w:val="en-US" w:eastAsia="zh-CN"/>
        </w:rPr>
      </w:pPr>
      <w:r>
        <w:rPr>
          <w:rFonts w:hint="eastAsia"/>
          <w:b/>
          <w:bCs/>
          <w:lang w:val="en-US" w:eastAsia="zh-CN"/>
        </w:rPr>
        <w:t xml:space="preserve">Proposal 6: </w:t>
      </w:r>
    </w:p>
    <w:p>
      <w:pPr>
        <w:bidi w:val="0"/>
        <w:jc w:val="both"/>
        <w:rPr>
          <w:rFonts w:hint="eastAsia"/>
          <w:b/>
          <w:bCs/>
          <w:lang w:val="en-US" w:eastAsia="zh-CN"/>
        </w:rPr>
      </w:pPr>
      <w:r>
        <w:rPr>
          <w:rFonts w:hint="eastAsia"/>
          <w:b/>
          <w:bCs/>
          <w:lang w:val="en-US" w:eastAsia="zh-CN"/>
        </w:rPr>
        <w:t>The definition of scaling factor for case b-1 and case b-2 is as follows:</w:t>
      </w:r>
    </w:p>
    <w:p>
      <w:pPr>
        <w:numPr>
          <w:ilvl w:val="0"/>
          <w:numId w:val="10"/>
        </w:numPr>
        <w:bidi w:val="0"/>
        <w:ind w:left="420" w:leftChars="0" w:hanging="420" w:firstLineChars="0"/>
        <w:jc w:val="both"/>
        <w:rPr>
          <w:rFonts w:hint="eastAsia"/>
          <w:b/>
          <w:bCs/>
          <w:vertAlign w:val="subscript"/>
          <w:lang w:val="en-US" w:eastAsia="zh-CN"/>
        </w:rPr>
      </w:pPr>
      <w:r>
        <w:rPr>
          <w:rFonts w:hint="eastAsia"/>
          <w:b/>
          <w:bCs/>
          <w:lang w:val="en-US" w:eastAsia="zh-CN"/>
        </w:rPr>
        <w:t>In the case that EMW is not configured or EMW is configured and fully overlapped with measurement gap, reuse the existing scaling factor CSSF</w:t>
      </w:r>
      <w:r>
        <w:rPr>
          <w:rFonts w:hint="eastAsia"/>
          <w:b/>
          <w:bCs/>
          <w:vertAlign w:val="subscript"/>
          <w:lang w:val="en-US" w:eastAsia="zh-CN"/>
        </w:rPr>
        <w:t>within_gap.</w:t>
      </w:r>
    </w:p>
    <w:p>
      <w:pPr>
        <w:numPr>
          <w:ilvl w:val="0"/>
          <w:numId w:val="9"/>
        </w:numPr>
        <w:bidi w:val="0"/>
        <w:ind w:left="420" w:leftChars="0" w:hanging="420" w:firstLineChars="0"/>
        <w:jc w:val="both"/>
        <w:rPr>
          <w:rFonts w:hint="eastAsia"/>
          <w:lang w:val="en-US" w:eastAsia="zh-CN"/>
        </w:rPr>
      </w:pPr>
      <w:r>
        <w:rPr>
          <w:rFonts w:hint="eastAsia"/>
          <w:b/>
          <w:bCs/>
          <w:vertAlign w:val="baseline"/>
          <w:lang w:val="en-US" w:eastAsia="zh-CN"/>
        </w:rPr>
        <w:t>In the case that EMW is configured, and is partially overlapped with measurement gap (EMW periodicity&lt; MGRP), introduce a new scaling factor Kp to handle the collision between EMW and MG, where</w:t>
      </w:r>
      <w:r>
        <w:rPr>
          <w:rFonts w:hint="eastAsia"/>
          <w:b/>
          <w:bCs/>
          <w:lang w:val="en-US" w:eastAsia="zh-CN"/>
        </w:rPr>
        <w:t xml:space="preserve"> Kp is calculated by dividing the total number of EMW by available EMW number outside gap. And to handle the collision between different inter-RAT LTE measurement, introduce a scaling factor, which is equal to the number of inter-RAT LTE gapless MOs.</w:t>
      </w:r>
    </w:p>
    <w:p>
      <w:pPr>
        <w:numPr>
          <w:ilvl w:val="0"/>
          <w:numId w:val="9"/>
        </w:numPr>
        <w:bidi w:val="0"/>
        <w:ind w:left="420" w:leftChars="0" w:hanging="420" w:firstLineChars="0"/>
        <w:jc w:val="both"/>
        <w:rPr>
          <w:rFonts w:hint="default"/>
          <w:color w:val="auto"/>
          <w:lang w:val="en-US" w:eastAsia="zh-CN"/>
        </w:rPr>
      </w:pPr>
      <w:r>
        <w:rPr>
          <w:rFonts w:hint="eastAsia"/>
          <w:b/>
          <w:bCs/>
          <w:lang w:val="en-US" w:eastAsia="zh-CN"/>
        </w:rPr>
        <w:t xml:space="preserve">In the case that </w:t>
      </w:r>
      <w:r>
        <w:rPr>
          <w:rFonts w:hint="eastAsia"/>
          <w:b/>
          <w:bCs/>
          <w:vertAlign w:val="baseline"/>
          <w:lang w:val="en-US" w:eastAsia="zh-CN"/>
        </w:rPr>
        <w:t>EMW</w:t>
      </w:r>
      <w:r>
        <w:rPr>
          <w:rFonts w:hint="eastAsia"/>
          <w:b/>
          <w:bCs/>
          <w:color w:val="auto"/>
          <w:vertAlign w:val="baseline"/>
          <w:lang w:val="en-US" w:eastAsia="zh-CN"/>
        </w:rPr>
        <w:t xml:space="preserve"> is configured, and is partially overlapped with measurement gap (EMW periodicity &gt; MGRP), use the existing CSSF within gap.</w:t>
      </w:r>
    </w:p>
    <w:p>
      <w:pPr>
        <w:bidi w:val="0"/>
        <w:jc w:val="both"/>
        <w:rPr>
          <w:rFonts w:hint="eastAsia"/>
          <w:b/>
          <w:bCs/>
          <w:lang w:val="en-US" w:eastAsia="zh-CN"/>
        </w:rPr>
      </w:pPr>
      <w:r>
        <w:rPr>
          <w:rFonts w:hint="eastAsia"/>
          <w:b/>
          <w:bCs/>
          <w:lang w:val="en-US" w:eastAsia="zh-CN"/>
        </w:rPr>
        <w:t xml:space="preserve">Proposal 7: Do not further discuss how to report UE capability </w:t>
      </w:r>
      <w:r>
        <w:rPr>
          <w:rFonts w:hint="eastAsia"/>
          <w:b/>
          <w:bCs/>
          <w:i/>
          <w:iCs/>
          <w:lang w:val="en-US" w:eastAsia="zh-CN"/>
        </w:rPr>
        <w:t>interRAT-NeedForIntrNR-r18</w:t>
      </w:r>
      <w:r>
        <w:rPr>
          <w:rFonts w:hint="eastAsia"/>
          <w:b/>
          <w:bCs/>
          <w:lang w:val="en-US" w:eastAsia="zh-CN"/>
        </w:rPr>
        <w:t>.</w:t>
      </w:r>
    </w:p>
    <w:p>
      <w:pPr>
        <w:bidi w:val="0"/>
        <w:jc w:val="both"/>
        <w:rPr>
          <w:rFonts w:hint="default"/>
          <w:b/>
          <w:bCs/>
          <w:lang w:val="en-US" w:eastAsia="zh-CN"/>
        </w:rPr>
      </w:pPr>
      <w:r>
        <w:rPr>
          <w:rFonts w:hint="eastAsia" w:eastAsia="宋体" w:cs="Arial"/>
          <w:b/>
          <w:bCs/>
          <w:szCs w:val="21"/>
          <w:lang w:val="en-US" w:eastAsia="zh-CN"/>
        </w:rPr>
        <w:t>Proposal 8: Introduce a new UE capability to indicate whether the UE supports EMW.</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lang w:val="en-US" w:eastAsia="zh-CN"/>
        </w:rPr>
      </w:pPr>
      <w:r>
        <w:rPr>
          <w:rFonts w:hint="eastAsia"/>
          <w:lang w:val="en-US" w:eastAsia="zh-CN"/>
        </w:rPr>
        <w:t>Reference</w:t>
      </w:r>
    </w:p>
    <w:p>
      <w:pPr>
        <w:pStyle w:val="11"/>
        <w:numPr>
          <w:ilvl w:val="0"/>
          <w:numId w:val="0"/>
        </w:numPr>
        <w:ind w:leftChars="0"/>
        <w:rPr>
          <w:rFonts w:hint="default" w:eastAsia="宋体"/>
          <w:color w:val="auto"/>
          <w:sz w:val="20"/>
          <w:szCs w:val="20"/>
          <w:lang w:val="en-US" w:eastAsia="zh-CN"/>
        </w:rPr>
      </w:pPr>
      <w:r>
        <w:rPr>
          <w:rFonts w:hint="eastAsia"/>
          <w:color w:val="auto"/>
          <w:sz w:val="20"/>
          <w:szCs w:val="20"/>
          <w:lang w:val="en-US" w:eastAsia="zh-CN"/>
        </w:rPr>
        <w:t xml:space="preserve">[1] </w:t>
      </w:r>
      <w:r>
        <w:rPr>
          <w:rFonts w:hint="default" w:eastAsia="宋体"/>
          <w:color w:val="auto"/>
          <w:sz w:val="20"/>
          <w:szCs w:val="20"/>
          <w:lang w:val="en-US" w:eastAsia="zh-CN"/>
        </w:rPr>
        <w:t>RP-221018 Further Enhancements on NR and MR-DC Measurement Gaps and Measurements without Gaps</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7B5F8D"/>
    <w:multiLevelType w:val="singleLevel"/>
    <w:tmpl w:val="EE7B5F8D"/>
    <w:lvl w:ilvl="0" w:tentative="0">
      <w:start w:val="1"/>
      <w:numFmt w:val="bullet"/>
      <w:lvlText w:val=""/>
      <w:lvlJc w:val="left"/>
      <w:pPr>
        <w:ind w:left="420" w:hanging="420"/>
      </w:pPr>
      <w:rPr>
        <w:rFonts w:hint="default" w:ascii="Wingdings" w:hAnsi="Wingdings"/>
      </w:rPr>
    </w:lvl>
  </w:abstractNum>
  <w:abstractNum w:abstractNumId="1">
    <w:nsid w:val="F01DDF15"/>
    <w:multiLevelType w:val="singleLevel"/>
    <w:tmpl w:val="F01DDF15"/>
    <w:lvl w:ilvl="0" w:tentative="0">
      <w:start w:val="1"/>
      <w:numFmt w:val="bullet"/>
      <w:lvlText w:val=""/>
      <w:lvlJc w:val="left"/>
      <w:pPr>
        <w:ind w:left="420" w:hanging="420"/>
      </w:pPr>
      <w:rPr>
        <w:rFonts w:hint="default" w:ascii="Wingdings" w:hAnsi="Wingdings"/>
        <w:sz w:val="16"/>
        <w:szCs w:val="16"/>
      </w:rPr>
    </w:lvl>
  </w:abstractNum>
  <w:abstractNum w:abstractNumId="2">
    <w:nsid w:val="16E95808"/>
    <w:multiLevelType w:val="singleLevel"/>
    <w:tmpl w:val="16E95808"/>
    <w:lvl w:ilvl="0" w:tentative="0">
      <w:start w:val="1"/>
      <w:numFmt w:val="bullet"/>
      <w:lvlText w:val=""/>
      <w:lvlJc w:val="left"/>
      <w:pPr>
        <w:ind w:left="420" w:hanging="420"/>
      </w:pPr>
      <w:rPr>
        <w:rFonts w:hint="default" w:ascii="Wingdings" w:hAnsi="Wingdings"/>
        <w:sz w:val="16"/>
        <w:szCs w:val="16"/>
        <w:vertAlign w:val="baseline"/>
      </w:rPr>
    </w:lvl>
  </w:abstractNum>
  <w:abstractNum w:abstractNumId="3">
    <w:nsid w:val="171A640B"/>
    <w:multiLevelType w:val="multilevel"/>
    <w:tmpl w:val="171A64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4FE03EF"/>
    <w:multiLevelType w:val="singleLevel"/>
    <w:tmpl w:val="24FE03EF"/>
    <w:lvl w:ilvl="0" w:tentative="0">
      <w:start w:val="1"/>
      <w:numFmt w:val="bullet"/>
      <w:lvlText w:val=""/>
      <w:lvlJc w:val="left"/>
      <w:pPr>
        <w:ind w:left="420" w:hanging="420"/>
      </w:pPr>
      <w:rPr>
        <w:rFonts w:hint="default" w:ascii="Wingdings" w:hAnsi="Wingdings"/>
      </w:rPr>
    </w:lvl>
  </w:abstractNum>
  <w:abstractNum w:abstractNumId="6">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9"/>
      <w:lvlText w:val="o"/>
      <w:lvlJc w:val="left"/>
      <w:pPr>
        <w:tabs>
          <w:tab w:val="left" w:pos="-420"/>
        </w:tabs>
        <w:ind w:left="760" w:hanging="360"/>
      </w:pPr>
      <w:rPr>
        <w:rFonts w:hint="default" w:ascii="Courier New" w:hAnsi="Courier New" w:cs="Courier New"/>
        <w:color w:val="auto"/>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8">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79FD337F"/>
    <w:multiLevelType w:val="multilevel"/>
    <w:tmpl w:val="79FD337F"/>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8"/>
  </w:num>
  <w:num w:numId="2">
    <w:abstractNumId w:val="6"/>
  </w:num>
  <w:num w:numId="3">
    <w:abstractNumId w:val="7"/>
  </w:num>
  <w:num w:numId="4">
    <w:abstractNumId w:val="4"/>
  </w:num>
  <w:num w:numId="5">
    <w:abstractNumId w:val="9"/>
  </w:num>
  <w:num w:numId="6">
    <w:abstractNumId w:val="3"/>
  </w:num>
  <w:num w:numId="7">
    <w:abstractNumId w:val="5"/>
  </w:num>
  <w:num w:numId="8">
    <w:abstractNumId w:val="0"/>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79E"/>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37C9"/>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530A"/>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450C"/>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1AF"/>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1528A8"/>
    <w:rsid w:val="012647A7"/>
    <w:rsid w:val="01270A16"/>
    <w:rsid w:val="0171045D"/>
    <w:rsid w:val="01837E20"/>
    <w:rsid w:val="018C289C"/>
    <w:rsid w:val="0191068D"/>
    <w:rsid w:val="01AF002B"/>
    <w:rsid w:val="01C32830"/>
    <w:rsid w:val="01C866F9"/>
    <w:rsid w:val="01EF5458"/>
    <w:rsid w:val="02213226"/>
    <w:rsid w:val="02266331"/>
    <w:rsid w:val="023147A4"/>
    <w:rsid w:val="02334141"/>
    <w:rsid w:val="02441D28"/>
    <w:rsid w:val="024B0DB3"/>
    <w:rsid w:val="026123BD"/>
    <w:rsid w:val="02617189"/>
    <w:rsid w:val="02752C56"/>
    <w:rsid w:val="02843169"/>
    <w:rsid w:val="028B6A1D"/>
    <w:rsid w:val="028F1C3E"/>
    <w:rsid w:val="02B41291"/>
    <w:rsid w:val="02BA3FA0"/>
    <w:rsid w:val="03182BA3"/>
    <w:rsid w:val="031B4689"/>
    <w:rsid w:val="032A484A"/>
    <w:rsid w:val="032B3234"/>
    <w:rsid w:val="033D52CF"/>
    <w:rsid w:val="03527DC7"/>
    <w:rsid w:val="03602ABE"/>
    <w:rsid w:val="03757B60"/>
    <w:rsid w:val="037805D6"/>
    <w:rsid w:val="037D0CB3"/>
    <w:rsid w:val="0391744B"/>
    <w:rsid w:val="03B47ADC"/>
    <w:rsid w:val="03D4720A"/>
    <w:rsid w:val="03F24A85"/>
    <w:rsid w:val="03F5128D"/>
    <w:rsid w:val="043153AE"/>
    <w:rsid w:val="04475814"/>
    <w:rsid w:val="04654053"/>
    <w:rsid w:val="046D1AD8"/>
    <w:rsid w:val="046F3AAD"/>
    <w:rsid w:val="04793516"/>
    <w:rsid w:val="047A3CFF"/>
    <w:rsid w:val="047C1D3C"/>
    <w:rsid w:val="049E4425"/>
    <w:rsid w:val="04FD7FB0"/>
    <w:rsid w:val="04FE5776"/>
    <w:rsid w:val="05317828"/>
    <w:rsid w:val="05477E90"/>
    <w:rsid w:val="055051FE"/>
    <w:rsid w:val="0571148D"/>
    <w:rsid w:val="057C7399"/>
    <w:rsid w:val="058D7609"/>
    <w:rsid w:val="05BB5AB9"/>
    <w:rsid w:val="05C42923"/>
    <w:rsid w:val="05C96DAF"/>
    <w:rsid w:val="05D2518F"/>
    <w:rsid w:val="05DC6C6A"/>
    <w:rsid w:val="05F74837"/>
    <w:rsid w:val="05F77E20"/>
    <w:rsid w:val="05F81750"/>
    <w:rsid w:val="0605217E"/>
    <w:rsid w:val="06221798"/>
    <w:rsid w:val="062533C0"/>
    <w:rsid w:val="06257F06"/>
    <w:rsid w:val="0632289A"/>
    <w:rsid w:val="063302DF"/>
    <w:rsid w:val="063649BE"/>
    <w:rsid w:val="063E6A6E"/>
    <w:rsid w:val="06455476"/>
    <w:rsid w:val="066F3E8C"/>
    <w:rsid w:val="06927A7D"/>
    <w:rsid w:val="06963BA6"/>
    <w:rsid w:val="06965F3C"/>
    <w:rsid w:val="06B50BDD"/>
    <w:rsid w:val="06CF381D"/>
    <w:rsid w:val="0719329D"/>
    <w:rsid w:val="074D5303"/>
    <w:rsid w:val="0774438D"/>
    <w:rsid w:val="07877965"/>
    <w:rsid w:val="07884228"/>
    <w:rsid w:val="078B7B6F"/>
    <w:rsid w:val="07A94B43"/>
    <w:rsid w:val="07CD3CDD"/>
    <w:rsid w:val="07FA6058"/>
    <w:rsid w:val="08434A68"/>
    <w:rsid w:val="0847554C"/>
    <w:rsid w:val="0855671D"/>
    <w:rsid w:val="089009EB"/>
    <w:rsid w:val="08957D6A"/>
    <w:rsid w:val="08A10821"/>
    <w:rsid w:val="08A9721B"/>
    <w:rsid w:val="08B13433"/>
    <w:rsid w:val="08B14038"/>
    <w:rsid w:val="08BC3A60"/>
    <w:rsid w:val="08DC1C1B"/>
    <w:rsid w:val="09012783"/>
    <w:rsid w:val="093D14C7"/>
    <w:rsid w:val="095549E4"/>
    <w:rsid w:val="09716BCA"/>
    <w:rsid w:val="0987023E"/>
    <w:rsid w:val="099A5B81"/>
    <w:rsid w:val="099E0A63"/>
    <w:rsid w:val="09BD1895"/>
    <w:rsid w:val="09C530E6"/>
    <w:rsid w:val="09D64B23"/>
    <w:rsid w:val="09E61C83"/>
    <w:rsid w:val="09E644B8"/>
    <w:rsid w:val="09EC6054"/>
    <w:rsid w:val="0A0017C2"/>
    <w:rsid w:val="0A086188"/>
    <w:rsid w:val="0A0A79AC"/>
    <w:rsid w:val="0A0D254B"/>
    <w:rsid w:val="0A122902"/>
    <w:rsid w:val="0A1A31A1"/>
    <w:rsid w:val="0A1E5CF3"/>
    <w:rsid w:val="0A2D323B"/>
    <w:rsid w:val="0A2F1BB4"/>
    <w:rsid w:val="0A3203C5"/>
    <w:rsid w:val="0A41466A"/>
    <w:rsid w:val="0A492424"/>
    <w:rsid w:val="0A515E9F"/>
    <w:rsid w:val="0A55006C"/>
    <w:rsid w:val="0A5D2339"/>
    <w:rsid w:val="0A9877F2"/>
    <w:rsid w:val="0AC272FB"/>
    <w:rsid w:val="0AC30636"/>
    <w:rsid w:val="0AD82019"/>
    <w:rsid w:val="0AE47427"/>
    <w:rsid w:val="0AF12F01"/>
    <w:rsid w:val="0B0362DC"/>
    <w:rsid w:val="0B0639C8"/>
    <w:rsid w:val="0B12013A"/>
    <w:rsid w:val="0B166F55"/>
    <w:rsid w:val="0B1D253D"/>
    <w:rsid w:val="0B232838"/>
    <w:rsid w:val="0B3259E2"/>
    <w:rsid w:val="0B3D3C2F"/>
    <w:rsid w:val="0B404CE1"/>
    <w:rsid w:val="0B470467"/>
    <w:rsid w:val="0B55380B"/>
    <w:rsid w:val="0B5F1776"/>
    <w:rsid w:val="0B93744C"/>
    <w:rsid w:val="0BB0429A"/>
    <w:rsid w:val="0BD50E6F"/>
    <w:rsid w:val="0BDE36C2"/>
    <w:rsid w:val="0BE1221F"/>
    <w:rsid w:val="0BFF5FC6"/>
    <w:rsid w:val="0C394019"/>
    <w:rsid w:val="0C5D35AC"/>
    <w:rsid w:val="0C6F4576"/>
    <w:rsid w:val="0C84352B"/>
    <w:rsid w:val="0C853B1A"/>
    <w:rsid w:val="0C987C63"/>
    <w:rsid w:val="0CAF46E5"/>
    <w:rsid w:val="0CC44093"/>
    <w:rsid w:val="0CD11C9B"/>
    <w:rsid w:val="0CEB7462"/>
    <w:rsid w:val="0D005F0B"/>
    <w:rsid w:val="0D7507A0"/>
    <w:rsid w:val="0DAD28F2"/>
    <w:rsid w:val="0DBF2366"/>
    <w:rsid w:val="0DC22389"/>
    <w:rsid w:val="0DE167EF"/>
    <w:rsid w:val="0DF45B03"/>
    <w:rsid w:val="0DFA4AE4"/>
    <w:rsid w:val="0E24039F"/>
    <w:rsid w:val="0E25710B"/>
    <w:rsid w:val="0E2B5D40"/>
    <w:rsid w:val="0E3F3F7A"/>
    <w:rsid w:val="0E44220F"/>
    <w:rsid w:val="0E4D3106"/>
    <w:rsid w:val="0E592030"/>
    <w:rsid w:val="0E82639D"/>
    <w:rsid w:val="0E984053"/>
    <w:rsid w:val="0E9B52D6"/>
    <w:rsid w:val="0EAB7118"/>
    <w:rsid w:val="0EB167DB"/>
    <w:rsid w:val="0EC46F3D"/>
    <w:rsid w:val="0ECA7CFC"/>
    <w:rsid w:val="0ED96624"/>
    <w:rsid w:val="0EDF2F3E"/>
    <w:rsid w:val="0EFC31EA"/>
    <w:rsid w:val="0EFD148A"/>
    <w:rsid w:val="0EFE11ED"/>
    <w:rsid w:val="0F002A58"/>
    <w:rsid w:val="0F1E27D0"/>
    <w:rsid w:val="0F224D89"/>
    <w:rsid w:val="0F354E59"/>
    <w:rsid w:val="0F476374"/>
    <w:rsid w:val="0F485945"/>
    <w:rsid w:val="0F8F3C26"/>
    <w:rsid w:val="0F9936AB"/>
    <w:rsid w:val="0FA22DEE"/>
    <w:rsid w:val="0FAB3E08"/>
    <w:rsid w:val="0FCD4412"/>
    <w:rsid w:val="0FDB491F"/>
    <w:rsid w:val="0FEA5C1B"/>
    <w:rsid w:val="10085146"/>
    <w:rsid w:val="10137061"/>
    <w:rsid w:val="101D5025"/>
    <w:rsid w:val="102A6B84"/>
    <w:rsid w:val="103B7FDB"/>
    <w:rsid w:val="10701299"/>
    <w:rsid w:val="10811DA0"/>
    <w:rsid w:val="10964454"/>
    <w:rsid w:val="10997F43"/>
    <w:rsid w:val="10A660E0"/>
    <w:rsid w:val="10AA0424"/>
    <w:rsid w:val="10AE34FB"/>
    <w:rsid w:val="10C4141A"/>
    <w:rsid w:val="10CA7DAD"/>
    <w:rsid w:val="10D626A1"/>
    <w:rsid w:val="10D9683D"/>
    <w:rsid w:val="10DE7BAE"/>
    <w:rsid w:val="10EC4A65"/>
    <w:rsid w:val="10ED002D"/>
    <w:rsid w:val="10FB7D54"/>
    <w:rsid w:val="11107760"/>
    <w:rsid w:val="1146775F"/>
    <w:rsid w:val="11543C70"/>
    <w:rsid w:val="115C2413"/>
    <w:rsid w:val="11686B96"/>
    <w:rsid w:val="11B56B25"/>
    <w:rsid w:val="11CF45C3"/>
    <w:rsid w:val="11DB45E7"/>
    <w:rsid w:val="11ED4E39"/>
    <w:rsid w:val="11F6514D"/>
    <w:rsid w:val="11FF5348"/>
    <w:rsid w:val="12000F40"/>
    <w:rsid w:val="120774A3"/>
    <w:rsid w:val="1221564B"/>
    <w:rsid w:val="12280F72"/>
    <w:rsid w:val="122F64A8"/>
    <w:rsid w:val="123F0A7C"/>
    <w:rsid w:val="12580C13"/>
    <w:rsid w:val="125A6B2E"/>
    <w:rsid w:val="125B43A5"/>
    <w:rsid w:val="125E729B"/>
    <w:rsid w:val="12705163"/>
    <w:rsid w:val="12766021"/>
    <w:rsid w:val="127D5D6D"/>
    <w:rsid w:val="12891B41"/>
    <w:rsid w:val="12A904AC"/>
    <w:rsid w:val="12B17FEF"/>
    <w:rsid w:val="12B55E5B"/>
    <w:rsid w:val="12C153B5"/>
    <w:rsid w:val="13164F7E"/>
    <w:rsid w:val="1317565A"/>
    <w:rsid w:val="131B1088"/>
    <w:rsid w:val="1324551B"/>
    <w:rsid w:val="133C17D7"/>
    <w:rsid w:val="136364AA"/>
    <w:rsid w:val="1364464A"/>
    <w:rsid w:val="137763DF"/>
    <w:rsid w:val="139635B6"/>
    <w:rsid w:val="13A97D70"/>
    <w:rsid w:val="13AF5189"/>
    <w:rsid w:val="13BB47A0"/>
    <w:rsid w:val="13D032A9"/>
    <w:rsid w:val="13D97C8F"/>
    <w:rsid w:val="13DE2AA7"/>
    <w:rsid w:val="14006D19"/>
    <w:rsid w:val="14301428"/>
    <w:rsid w:val="143E669E"/>
    <w:rsid w:val="144C6C6D"/>
    <w:rsid w:val="146731C6"/>
    <w:rsid w:val="14725EE6"/>
    <w:rsid w:val="14767A0C"/>
    <w:rsid w:val="14792D9A"/>
    <w:rsid w:val="1481754F"/>
    <w:rsid w:val="148B58CA"/>
    <w:rsid w:val="148F5721"/>
    <w:rsid w:val="149842A8"/>
    <w:rsid w:val="149B53EC"/>
    <w:rsid w:val="149C01A4"/>
    <w:rsid w:val="14AC57CD"/>
    <w:rsid w:val="14B44EB0"/>
    <w:rsid w:val="14D86281"/>
    <w:rsid w:val="14F03F16"/>
    <w:rsid w:val="14F47464"/>
    <w:rsid w:val="153A6EF0"/>
    <w:rsid w:val="1545777C"/>
    <w:rsid w:val="15644BCB"/>
    <w:rsid w:val="15EB3A55"/>
    <w:rsid w:val="15ED3E9B"/>
    <w:rsid w:val="16144667"/>
    <w:rsid w:val="164514BE"/>
    <w:rsid w:val="16701559"/>
    <w:rsid w:val="16891053"/>
    <w:rsid w:val="16E1640F"/>
    <w:rsid w:val="170F06AA"/>
    <w:rsid w:val="17100E98"/>
    <w:rsid w:val="17225508"/>
    <w:rsid w:val="17253680"/>
    <w:rsid w:val="174B434F"/>
    <w:rsid w:val="177A53BF"/>
    <w:rsid w:val="1790226F"/>
    <w:rsid w:val="17957C1D"/>
    <w:rsid w:val="17AA295F"/>
    <w:rsid w:val="17B46D21"/>
    <w:rsid w:val="17B739EE"/>
    <w:rsid w:val="17BD4825"/>
    <w:rsid w:val="17C76777"/>
    <w:rsid w:val="17F619C2"/>
    <w:rsid w:val="180A6E32"/>
    <w:rsid w:val="18122616"/>
    <w:rsid w:val="181A523F"/>
    <w:rsid w:val="18304737"/>
    <w:rsid w:val="18363646"/>
    <w:rsid w:val="183F2CD2"/>
    <w:rsid w:val="1856323E"/>
    <w:rsid w:val="18842E53"/>
    <w:rsid w:val="18AC1086"/>
    <w:rsid w:val="18AE421A"/>
    <w:rsid w:val="18AF55E3"/>
    <w:rsid w:val="18B1519A"/>
    <w:rsid w:val="18B232C2"/>
    <w:rsid w:val="18C35559"/>
    <w:rsid w:val="18CD0507"/>
    <w:rsid w:val="18DD3CE7"/>
    <w:rsid w:val="18DF10CA"/>
    <w:rsid w:val="18E23F8F"/>
    <w:rsid w:val="18EC31CE"/>
    <w:rsid w:val="18EF08D0"/>
    <w:rsid w:val="18FD0995"/>
    <w:rsid w:val="191E67B0"/>
    <w:rsid w:val="1923531E"/>
    <w:rsid w:val="1942455C"/>
    <w:rsid w:val="19534C83"/>
    <w:rsid w:val="19561473"/>
    <w:rsid w:val="195D7D48"/>
    <w:rsid w:val="19705454"/>
    <w:rsid w:val="19C55239"/>
    <w:rsid w:val="19E833E6"/>
    <w:rsid w:val="1A0D6B0E"/>
    <w:rsid w:val="1A16096E"/>
    <w:rsid w:val="1A332787"/>
    <w:rsid w:val="1A8264EB"/>
    <w:rsid w:val="1A9B362F"/>
    <w:rsid w:val="1AAC2154"/>
    <w:rsid w:val="1AAC38DB"/>
    <w:rsid w:val="1AAE4BD8"/>
    <w:rsid w:val="1AD01A1B"/>
    <w:rsid w:val="1AFA5806"/>
    <w:rsid w:val="1B0A34ED"/>
    <w:rsid w:val="1B160E09"/>
    <w:rsid w:val="1B476E19"/>
    <w:rsid w:val="1B5A0CF0"/>
    <w:rsid w:val="1B61065A"/>
    <w:rsid w:val="1B663456"/>
    <w:rsid w:val="1B68181B"/>
    <w:rsid w:val="1B6C40A6"/>
    <w:rsid w:val="1B707610"/>
    <w:rsid w:val="1B715D43"/>
    <w:rsid w:val="1BA20AC6"/>
    <w:rsid w:val="1BBF3927"/>
    <w:rsid w:val="1BC26D2A"/>
    <w:rsid w:val="1BED4421"/>
    <w:rsid w:val="1C023E5D"/>
    <w:rsid w:val="1C177B08"/>
    <w:rsid w:val="1C58567F"/>
    <w:rsid w:val="1C5A4B8A"/>
    <w:rsid w:val="1C636F57"/>
    <w:rsid w:val="1C6A41A0"/>
    <w:rsid w:val="1C8B6B3D"/>
    <w:rsid w:val="1C8E204E"/>
    <w:rsid w:val="1C8F420B"/>
    <w:rsid w:val="1C9001C6"/>
    <w:rsid w:val="1C9B13AE"/>
    <w:rsid w:val="1C9E5823"/>
    <w:rsid w:val="1CB45251"/>
    <w:rsid w:val="1CBA2101"/>
    <w:rsid w:val="1CC620D5"/>
    <w:rsid w:val="1CD06ECF"/>
    <w:rsid w:val="1CE95BAF"/>
    <w:rsid w:val="1CF654FF"/>
    <w:rsid w:val="1D016AA2"/>
    <w:rsid w:val="1D0573D7"/>
    <w:rsid w:val="1D153DC4"/>
    <w:rsid w:val="1D223E0B"/>
    <w:rsid w:val="1D310B82"/>
    <w:rsid w:val="1D3844FE"/>
    <w:rsid w:val="1D5B134F"/>
    <w:rsid w:val="1D865843"/>
    <w:rsid w:val="1D8F0A45"/>
    <w:rsid w:val="1DA32E77"/>
    <w:rsid w:val="1DC567B6"/>
    <w:rsid w:val="1DD71083"/>
    <w:rsid w:val="1DF47B72"/>
    <w:rsid w:val="1E0C3A9B"/>
    <w:rsid w:val="1E102DDA"/>
    <w:rsid w:val="1E132F88"/>
    <w:rsid w:val="1E181A12"/>
    <w:rsid w:val="1E2867E9"/>
    <w:rsid w:val="1E3F2838"/>
    <w:rsid w:val="1E606A2E"/>
    <w:rsid w:val="1E656E2D"/>
    <w:rsid w:val="1E666F5E"/>
    <w:rsid w:val="1E7234DB"/>
    <w:rsid w:val="1E853F6F"/>
    <w:rsid w:val="1E8E6CAD"/>
    <w:rsid w:val="1E9C7BCC"/>
    <w:rsid w:val="1EB03052"/>
    <w:rsid w:val="1EB73DF5"/>
    <w:rsid w:val="1EB86F8B"/>
    <w:rsid w:val="1EBA11E9"/>
    <w:rsid w:val="1EC41A9B"/>
    <w:rsid w:val="1ECC1E3C"/>
    <w:rsid w:val="1EEA7AF0"/>
    <w:rsid w:val="1EF86172"/>
    <w:rsid w:val="1F007F38"/>
    <w:rsid w:val="1F235A2B"/>
    <w:rsid w:val="1F2430F7"/>
    <w:rsid w:val="1F3A1E2A"/>
    <w:rsid w:val="1F3C7421"/>
    <w:rsid w:val="1F443425"/>
    <w:rsid w:val="1F4D3159"/>
    <w:rsid w:val="1F4F2D08"/>
    <w:rsid w:val="1F897D71"/>
    <w:rsid w:val="1F8E6565"/>
    <w:rsid w:val="1F9028A2"/>
    <w:rsid w:val="1F96434B"/>
    <w:rsid w:val="1FA70EB4"/>
    <w:rsid w:val="1FB60ADE"/>
    <w:rsid w:val="1FBF0E1E"/>
    <w:rsid w:val="1FBF78D9"/>
    <w:rsid w:val="1FCA1EA0"/>
    <w:rsid w:val="200B4E8E"/>
    <w:rsid w:val="200E61D2"/>
    <w:rsid w:val="20383D9C"/>
    <w:rsid w:val="203C3F13"/>
    <w:rsid w:val="20454C7D"/>
    <w:rsid w:val="2055009F"/>
    <w:rsid w:val="206800B8"/>
    <w:rsid w:val="208B5FB4"/>
    <w:rsid w:val="208E4557"/>
    <w:rsid w:val="20906282"/>
    <w:rsid w:val="209614BF"/>
    <w:rsid w:val="209A79FB"/>
    <w:rsid w:val="20C04176"/>
    <w:rsid w:val="20C4079D"/>
    <w:rsid w:val="20D36C01"/>
    <w:rsid w:val="20DF6C5A"/>
    <w:rsid w:val="20F62D56"/>
    <w:rsid w:val="20F72741"/>
    <w:rsid w:val="21014C39"/>
    <w:rsid w:val="21045DF0"/>
    <w:rsid w:val="21244EB1"/>
    <w:rsid w:val="212B5A66"/>
    <w:rsid w:val="21332FDE"/>
    <w:rsid w:val="21336848"/>
    <w:rsid w:val="213964D8"/>
    <w:rsid w:val="213A3915"/>
    <w:rsid w:val="21595D04"/>
    <w:rsid w:val="21661328"/>
    <w:rsid w:val="21693A05"/>
    <w:rsid w:val="2185351C"/>
    <w:rsid w:val="21A6285D"/>
    <w:rsid w:val="21B10661"/>
    <w:rsid w:val="21B32AFC"/>
    <w:rsid w:val="21CD4745"/>
    <w:rsid w:val="21F13629"/>
    <w:rsid w:val="22113739"/>
    <w:rsid w:val="222B6A9C"/>
    <w:rsid w:val="222D3AB8"/>
    <w:rsid w:val="22332BD6"/>
    <w:rsid w:val="224A37E3"/>
    <w:rsid w:val="225A6200"/>
    <w:rsid w:val="227A1549"/>
    <w:rsid w:val="228D1FBC"/>
    <w:rsid w:val="22A9180E"/>
    <w:rsid w:val="22BF4FB1"/>
    <w:rsid w:val="22CD7CEF"/>
    <w:rsid w:val="22D549A1"/>
    <w:rsid w:val="22DC3186"/>
    <w:rsid w:val="22DD3A0A"/>
    <w:rsid w:val="22E76DD4"/>
    <w:rsid w:val="22F463DA"/>
    <w:rsid w:val="22FA5A5F"/>
    <w:rsid w:val="2305377E"/>
    <w:rsid w:val="230A2347"/>
    <w:rsid w:val="23217062"/>
    <w:rsid w:val="232B7E07"/>
    <w:rsid w:val="235D0BB6"/>
    <w:rsid w:val="23775924"/>
    <w:rsid w:val="2395158B"/>
    <w:rsid w:val="23A932F4"/>
    <w:rsid w:val="23C62395"/>
    <w:rsid w:val="23D871AF"/>
    <w:rsid w:val="23F01452"/>
    <w:rsid w:val="23F07681"/>
    <w:rsid w:val="23F3704C"/>
    <w:rsid w:val="23F51D23"/>
    <w:rsid w:val="24051187"/>
    <w:rsid w:val="24114AE0"/>
    <w:rsid w:val="24122135"/>
    <w:rsid w:val="242018D7"/>
    <w:rsid w:val="243F3BA0"/>
    <w:rsid w:val="248B5654"/>
    <w:rsid w:val="24D4257E"/>
    <w:rsid w:val="24D61C00"/>
    <w:rsid w:val="24E31ACA"/>
    <w:rsid w:val="24E868A0"/>
    <w:rsid w:val="250944C4"/>
    <w:rsid w:val="253F25E9"/>
    <w:rsid w:val="254F0F7E"/>
    <w:rsid w:val="255E256B"/>
    <w:rsid w:val="256423B3"/>
    <w:rsid w:val="2572202B"/>
    <w:rsid w:val="258A3629"/>
    <w:rsid w:val="258E2805"/>
    <w:rsid w:val="258F0DC9"/>
    <w:rsid w:val="259240CB"/>
    <w:rsid w:val="25A723CA"/>
    <w:rsid w:val="25CE627E"/>
    <w:rsid w:val="25D44EC7"/>
    <w:rsid w:val="25E22D30"/>
    <w:rsid w:val="25F84C25"/>
    <w:rsid w:val="25FB4622"/>
    <w:rsid w:val="2605683C"/>
    <w:rsid w:val="260B21E4"/>
    <w:rsid w:val="266D5053"/>
    <w:rsid w:val="267D1D50"/>
    <w:rsid w:val="26BB1419"/>
    <w:rsid w:val="26C6024F"/>
    <w:rsid w:val="26CE6F15"/>
    <w:rsid w:val="26D27DA7"/>
    <w:rsid w:val="26DC6A34"/>
    <w:rsid w:val="26E223A8"/>
    <w:rsid w:val="26E64FD6"/>
    <w:rsid w:val="26FE5D9D"/>
    <w:rsid w:val="272B5A56"/>
    <w:rsid w:val="27347B80"/>
    <w:rsid w:val="274F69AE"/>
    <w:rsid w:val="27730A9F"/>
    <w:rsid w:val="2778201C"/>
    <w:rsid w:val="278F1F2F"/>
    <w:rsid w:val="27911DAC"/>
    <w:rsid w:val="279247E3"/>
    <w:rsid w:val="27A01156"/>
    <w:rsid w:val="27B748AA"/>
    <w:rsid w:val="27C74CA3"/>
    <w:rsid w:val="27CB4CB9"/>
    <w:rsid w:val="27CF38E1"/>
    <w:rsid w:val="27E00006"/>
    <w:rsid w:val="27F25A73"/>
    <w:rsid w:val="28036EF3"/>
    <w:rsid w:val="281B5EB5"/>
    <w:rsid w:val="281C2F58"/>
    <w:rsid w:val="28297C0D"/>
    <w:rsid w:val="283C77E4"/>
    <w:rsid w:val="284D1A40"/>
    <w:rsid w:val="286E6BA4"/>
    <w:rsid w:val="28770CA5"/>
    <w:rsid w:val="287C6C72"/>
    <w:rsid w:val="28A26F43"/>
    <w:rsid w:val="28A6203D"/>
    <w:rsid w:val="28B642CF"/>
    <w:rsid w:val="28E52ADF"/>
    <w:rsid w:val="290E5C4D"/>
    <w:rsid w:val="290F56F2"/>
    <w:rsid w:val="291951AF"/>
    <w:rsid w:val="29485D86"/>
    <w:rsid w:val="295A0D64"/>
    <w:rsid w:val="29634C68"/>
    <w:rsid w:val="29642C4B"/>
    <w:rsid w:val="29AE0F52"/>
    <w:rsid w:val="29D066E4"/>
    <w:rsid w:val="29D9410F"/>
    <w:rsid w:val="29E33847"/>
    <w:rsid w:val="29E3736F"/>
    <w:rsid w:val="29F812C8"/>
    <w:rsid w:val="2A162506"/>
    <w:rsid w:val="2A34628C"/>
    <w:rsid w:val="2A521949"/>
    <w:rsid w:val="2A573B12"/>
    <w:rsid w:val="2A64509A"/>
    <w:rsid w:val="2A672DEB"/>
    <w:rsid w:val="2A724D05"/>
    <w:rsid w:val="2A7E505C"/>
    <w:rsid w:val="2A7E6193"/>
    <w:rsid w:val="2A822B7A"/>
    <w:rsid w:val="2A8B5813"/>
    <w:rsid w:val="2A906267"/>
    <w:rsid w:val="2ABC3498"/>
    <w:rsid w:val="2AC85686"/>
    <w:rsid w:val="2AD04B5F"/>
    <w:rsid w:val="2AD53F89"/>
    <w:rsid w:val="2ADA3868"/>
    <w:rsid w:val="2B1F72BA"/>
    <w:rsid w:val="2B2749F7"/>
    <w:rsid w:val="2B303323"/>
    <w:rsid w:val="2B4171D4"/>
    <w:rsid w:val="2B4E7DFD"/>
    <w:rsid w:val="2B523E20"/>
    <w:rsid w:val="2B6E7994"/>
    <w:rsid w:val="2B862539"/>
    <w:rsid w:val="2B9D475C"/>
    <w:rsid w:val="2BAB1E52"/>
    <w:rsid w:val="2BB4421F"/>
    <w:rsid w:val="2BC05B2C"/>
    <w:rsid w:val="2BD54130"/>
    <w:rsid w:val="2BD617C5"/>
    <w:rsid w:val="2BDE2000"/>
    <w:rsid w:val="2BDF40A6"/>
    <w:rsid w:val="2BEB663C"/>
    <w:rsid w:val="2C112837"/>
    <w:rsid w:val="2C170506"/>
    <w:rsid w:val="2C1834EC"/>
    <w:rsid w:val="2C287192"/>
    <w:rsid w:val="2C2F3C92"/>
    <w:rsid w:val="2C3F520C"/>
    <w:rsid w:val="2C4362DE"/>
    <w:rsid w:val="2C4F0070"/>
    <w:rsid w:val="2C5165A4"/>
    <w:rsid w:val="2C5740B2"/>
    <w:rsid w:val="2C6A04E1"/>
    <w:rsid w:val="2C741CAC"/>
    <w:rsid w:val="2C747BF3"/>
    <w:rsid w:val="2C9A4A58"/>
    <w:rsid w:val="2CA93572"/>
    <w:rsid w:val="2CCD6413"/>
    <w:rsid w:val="2CD44256"/>
    <w:rsid w:val="2CE40D90"/>
    <w:rsid w:val="2CFA5256"/>
    <w:rsid w:val="2D2B45A9"/>
    <w:rsid w:val="2D4544E0"/>
    <w:rsid w:val="2D9524CD"/>
    <w:rsid w:val="2D9B388C"/>
    <w:rsid w:val="2DA314F3"/>
    <w:rsid w:val="2DA31820"/>
    <w:rsid w:val="2DC368F8"/>
    <w:rsid w:val="2DE901B8"/>
    <w:rsid w:val="2E014790"/>
    <w:rsid w:val="2E0265C0"/>
    <w:rsid w:val="2E09579F"/>
    <w:rsid w:val="2E2C147D"/>
    <w:rsid w:val="2E416702"/>
    <w:rsid w:val="2E505D95"/>
    <w:rsid w:val="2E5511C4"/>
    <w:rsid w:val="2E6B5B0D"/>
    <w:rsid w:val="2E6C1D01"/>
    <w:rsid w:val="2E837BE2"/>
    <w:rsid w:val="2E85341A"/>
    <w:rsid w:val="2E901001"/>
    <w:rsid w:val="2EAC7B4E"/>
    <w:rsid w:val="2EB32811"/>
    <w:rsid w:val="2EB61695"/>
    <w:rsid w:val="2ED746D8"/>
    <w:rsid w:val="2EE51747"/>
    <w:rsid w:val="2EE77680"/>
    <w:rsid w:val="2F023B67"/>
    <w:rsid w:val="2F2C5823"/>
    <w:rsid w:val="2F2F0FC8"/>
    <w:rsid w:val="2F335529"/>
    <w:rsid w:val="2F3513A0"/>
    <w:rsid w:val="2F531C77"/>
    <w:rsid w:val="2F552131"/>
    <w:rsid w:val="2F6876F1"/>
    <w:rsid w:val="2F8C6748"/>
    <w:rsid w:val="2F9F0267"/>
    <w:rsid w:val="2FC1649F"/>
    <w:rsid w:val="2FE56068"/>
    <w:rsid w:val="2FF10824"/>
    <w:rsid w:val="2FF75FE6"/>
    <w:rsid w:val="301C6BB6"/>
    <w:rsid w:val="305B7A07"/>
    <w:rsid w:val="305D5DD5"/>
    <w:rsid w:val="305E1622"/>
    <w:rsid w:val="30723652"/>
    <w:rsid w:val="30855869"/>
    <w:rsid w:val="30AC2FBE"/>
    <w:rsid w:val="30C13E45"/>
    <w:rsid w:val="30DD1A9D"/>
    <w:rsid w:val="30FD56D5"/>
    <w:rsid w:val="3109107F"/>
    <w:rsid w:val="310A6A4A"/>
    <w:rsid w:val="31325167"/>
    <w:rsid w:val="31326533"/>
    <w:rsid w:val="31555394"/>
    <w:rsid w:val="315F5A13"/>
    <w:rsid w:val="3182759F"/>
    <w:rsid w:val="319708F2"/>
    <w:rsid w:val="31B14C9E"/>
    <w:rsid w:val="31B3350F"/>
    <w:rsid w:val="31B41403"/>
    <w:rsid w:val="31CF7F64"/>
    <w:rsid w:val="31D74655"/>
    <w:rsid w:val="321737BD"/>
    <w:rsid w:val="32210F50"/>
    <w:rsid w:val="3239174D"/>
    <w:rsid w:val="323D19AE"/>
    <w:rsid w:val="32495BBC"/>
    <w:rsid w:val="324F2ACF"/>
    <w:rsid w:val="32656572"/>
    <w:rsid w:val="326B353C"/>
    <w:rsid w:val="32961319"/>
    <w:rsid w:val="32A4428B"/>
    <w:rsid w:val="32C037AB"/>
    <w:rsid w:val="32C75B5F"/>
    <w:rsid w:val="32D33B70"/>
    <w:rsid w:val="32D74951"/>
    <w:rsid w:val="33004DB0"/>
    <w:rsid w:val="33532934"/>
    <w:rsid w:val="33545CD9"/>
    <w:rsid w:val="336D7F54"/>
    <w:rsid w:val="33741E08"/>
    <w:rsid w:val="33890D6D"/>
    <w:rsid w:val="33A022F6"/>
    <w:rsid w:val="33A1540D"/>
    <w:rsid w:val="33B17A99"/>
    <w:rsid w:val="33C522D7"/>
    <w:rsid w:val="33CF702B"/>
    <w:rsid w:val="33D92C52"/>
    <w:rsid w:val="33E84F4A"/>
    <w:rsid w:val="33FC27E4"/>
    <w:rsid w:val="34244726"/>
    <w:rsid w:val="34257C99"/>
    <w:rsid w:val="34296C7E"/>
    <w:rsid w:val="34467802"/>
    <w:rsid w:val="34504361"/>
    <w:rsid w:val="34680888"/>
    <w:rsid w:val="347D5C43"/>
    <w:rsid w:val="34807672"/>
    <w:rsid w:val="34AC3378"/>
    <w:rsid w:val="34C74FC3"/>
    <w:rsid w:val="34DA2EBF"/>
    <w:rsid w:val="3501691C"/>
    <w:rsid w:val="351457B8"/>
    <w:rsid w:val="35221C56"/>
    <w:rsid w:val="353A6015"/>
    <w:rsid w:val="354573E1"/>
    <w:rsid w:val="354C13E3"/>
    <w:rsid w:val="35954D78"/>
    <w:rsid w:val="35B06C6A"/>
    <w:rsid w:val="35B82CEB"/>
    <w:rsid w:val="35BE3961"/>
    <w:rsid w:val="35C636D1"/>
    <w:rsid w:val="35D03CD9"/>
    <w:rsid w:val="35F8257A"/>
    <w:rsid w:val="360646E5"/>
    <w:rsid w:val="361E5AAD"/>
    <w:rsid w:val="36290AA7"/>
    <w:rsid w:val="363B548F"/>
    <w:rsid w:val="3647714E"/>
    <w:rsid w:val="367C3050"/>
    <w:rsid w:val="36941AA2"/>
    <w:rsid w:val="36BF5D68"/>
    <w:rsid w:val="36C313B8"/>
    <w:rsid w:val="36D37423"/>
    <w:rsid w:val="36D703D0"/>
    <w:rsid w:val="36D86F16"/>
    <w:rsid w:val="36EA46F8"/>
    <w:rsid w:val="370A097A"/>
    <w:rsid w:val="37243FDA"/>
    <w:rsid w:val="37306169"/>
    <w:rsid w:val="37357CFE"/>
    <w:rsid w:val="37433D8C"/>
    <w:rsid w:val="375923AE"/>
    <w:rsid w:val="375D1372"/>
    <w:rsid w:val="37725DC3"/>
    <w:rsid w:val="377647E0"/>
    <w:rsid w:val="378F55FB"/>
    <w:rsid w:val="379D23F9"/>
    <w:rsid w:val="37D17E7D"/>
    <w:rsid w:val="37D262BC"/>
    <w:rsid w:val="37DF1BA3"/>
    <w:rsid w:val="38051A14"/>
    <w:rsid w:val="380A5A57"/>
    <w:rsid w:val="3843268F"/>
    <w:rsid w:val="38956C32"/>
    <w:rsid w:val="38BB7D91"/>
    <w:rsid w:val="38FD559B"/>
    <w:rsid w:val="390B1158"/>
    <w:rsid w:val="391D2F50"/>
    <w:rsid w:val="391F1CDB"/>
    <w:rsid w:val="39284E12"/>
    <w:rsid w:val="393D3267"/>
    <w:rsid w:val="394047BA"/>
    <w:rsid w:val="39560E06"/>
    <w:rsid w:val="397A0659"/>
    <w:rsid w:val="399739F3"/>
    <w:rsid w:val="39B63D38"/>
    <w:rsid w:val="39C301BA"/>
    <w:rsid w:val="39C576F9"/>
    <w:rsid w:val="39DB2803"/>
    <w:rsid w:val="39E47BB1"/>
    <w:rsid w:val="39EF7F92"/>
    <w:rsid w:val="39FB3B0D"/>
    <w:rsid w:val="39FC47AD"/>
    <w:rsid w:val="39FE6ACF"/>
    <w:rsid w:val="3A050131"/>
    <w:rsid w:val="3A063354"/>
    <w:rsid w:val="3A185287"/>
    <w:rsid w:val="3A1F46B8"/>
    <w:rsid w:val="3A347756"/>
    <w:rsid w:val="3A571772"/>
    <w:rsid w:val="3A58358E"/>
    <w:rsid w:val="3A601549"/>
    <w:rsid w:val="3A692CD0"/>
    <w:rsid w:val="3AA415BF"/>
    <w:rsid w:val="3AB765E1"/>
    <w:rsid w:val="3AC316C6"/>
    <w:rsid w:val="3ACC187E"/>
    <w:rsid w:val="3AD81183"/>
    <w:rsid w:val="3AEA27B1"/>
    <w:rsid w:val="3B143055"/>
    <w:rsid w:val="3B155574"/>
    <w:rsid w:val="3B162623"/>
    <w:rsid w:val="3B270929"/>
    <w:rsid w:val="3B2D37B8"/>
    <w:rsid w:val="3B38029B"/>
    <w:rsid w:val="3B3D5571"/>
    <w:rsid w:val="3B673620"/>
    <w:rsid w:val="3B9A1F29"/>
    <w:rsid w:val="3BDF3F54"/>
    <w:rsid w:val="3BEF3A71"/>
    <w:rsid w:val="3C1D014C"/>
    <w:rsid w:val="3C1E3812"/>
    <w:rsid w:val="3C271558"/>
    <w:rsid w:val="3C513060"/>
    <w:rsid w:val="3C6748FD"/>
    <w:rsid w:val="3C951182"/>
    <w:rsid w:val="3CCF4706"/>
    <w:rsid w:val="3CE17874"/>
    <w:rsid w:val="3CE4646B"/>
    <w:rsid w:val="3D143447"/>
    <w:rsid w:val="3D220BB0"/>
    <w:rsid w:val="3D3319A1"/>
    <w:rsid w:val="3D4132A2"/>
    <w:rsid w:val="3D423410"/>
    <w:rsid w:val="3D526AD7"/>
    <w:rsid w:val="3D555928"/>
    <w:rsid w:val="3D5E7AA8"/>
    <w:rsid w:val="3D6F2596"/>
    <w:rsid w:val="3D831216"/>
    <w:rsid w:val="3D8E2153"/>
    <w:rsid w:val="3DBC2AAF"/>
    <w:rsid w:val="3DD5257F"/>
    <w:rsid w:val="3DF74FA8"/>
    <w:rsid w:val="3E0F0FBD"/>
    <w:rsid w:val="3E2064A3"/>
    <w:rsid w:val="3E704C35"/>
    <w:rsid w:val="3ED5235A"/>
    <w:rsid w:val="3EDD19A9"/>
    <w:rsid w:val="3EDF03FD"/>
    <w:rsid w:val="3EEB2146"/>
    <w:rsid w:val="3EFA286D"/>
    <w:rsid w:val="3F063341"/>
    <w:rsid w:val="3F105036"/>
    <w:rsid w:val="3F292EC9"/>
    <w:rsid w:val="3F2F438E"/>
    <w:rsid w:val="3F2F7698"/>
    <w:rsid w:val="3F307AE9"/>
    <w:rsid w:val="3F405255"/>
    <w:rsid w:val="3F430A34"/>
    <w:rsid w:val="3FAB4A68"/>
    <w:rsid w:val="3FDC2D53"/>
    <w:rsid w:val="3FF06F45"/>
    <w:rsid w:val="4000213C"/>
    <w:rsid w:val="40191F7F"/>
    <w:rsid w:val="401A112C"/>
    <w:rsid w:val="40416F93"/>
    <w:rsid w:val="4058037A"/>
    <w:rsid w:val="405B099C"/>
    <w:rsid w:val="405F175E"/>
    <w:rsid w:val="406E360E"/>
    <w:rsid w:val="408A58E4"/>
    <w:rsid w:val="408E1DF5"/>
    <w:rsid w:val="4097195B"/>
    <w:rsid w:val="40C22B8E"/>
    <w:rsid w:val="40C25229"/>
    <w:rsid w:val="40C765F3"/>
    <w:rsid w:val="41003600"/>
    <w:rsid w:val="410F4941"/>
    <w:rsid w:val="41277AD1"/>
    <w:rsid w:val="412A2C43"/>
    <w:rsid w:val="412E3F32"/>
    <w:rsid w:val="4180261C"/>
    <w:rsid w:val="41A01142"/>
    <w:rsid w:val="41B35097"/>
    <w:rsid w:val="41C41CB7"/>
    <w:rsid w:val="41C5100F"/>
    <w:rsid w:val="41CD7C80"/>
    <w:rsid w:val="41DB1A53"/>
    <w:rsid w:val="41F674B2"/>
    <w:rsid w:val="42011175"/>
    <w:rsid w:val="42045BDC"/>
    <w:rsid w:val="420C00ED"/>
    <w:rsid w:val="42512634"/>
    <w:rsid w:val="4253517C"/>
    <w:rsid w:val="425456B1"/>
    <w:rsid w:val="426425B1"/>
    <w:rsid w:val="42960DC3"/>
    <w:rsid w:val="42A471D8"/>
    <w:rsid w:val="42BD586C"/>
    <w:rsid w:val="42D0328F"/>
    <w:rsid w:val="42F869D2"/>
    <w:rsid w:val="431505AE"/>
    <w:rsid w:val="43214064"/>
    <w:rsid w:val="43296C81"/>
    <w:rsid w:val="43305724"/>
    <w:rsid w:val="43481A15"/>
    <w:rsid w:val="43553536"/>
    <w:rsid w:val="43660761"/>
    <w:rsid w:val="437B34C7"/>
    <w:rsid w:val="438725B9"/>
    <w:rsid w:val="43992CB7"/>
    <w:rsid w:val="43C273A3"/>
    <w:rsid w:val="43D75078"/>
    <w:rsid w:val="43DB1CDA"/>
    <w:rsid w:val="43DE01A0"/>
    <w:rsid w:val="43E529F0"/>
    <w:rsid w:val="43EE32C2"/>
    <w:rsid w:val="43F15709"/>
    <w:rsid w:val="43FE121A"/>
    <w:rsid w:val="44027745"/>
    <w:rsid w:val="440912AB"/>
    <w:rsid w:val="440D58DC"/>
    <w:rsid w:val="441D46D0"/>
    <w:rsid w:val="444C5F5A"/>
    <w:rsid w:val="44681726"/>
    <w:rsid w:val="448F338E"/>
    <w:rsid w:val="44955526"/>
    <w:rsid w:val="44972678"/>
    <w:rsid w:val="44A7620C"/>
    <w:rsid w:val="450272E0"/>
    <w:rsid w:val="451632B9"/>
    <w:rsid w:val="45286853"/>
    <w:rsid w:val="452F03E3"/>
    <w:rsid w:val="453248A2"/>
    <w:rsid w:val="45384064"/>
    <w:rsid w:val="453C59DA"/>
    <w:rsid w:val="45413C49"/>
    <w:rsid w:val="4569196E"/>
    <w:rsid w:val="456E52FD"/>
    <w:rsid w:val="458C6EC9"/>
    <w:rsid w:val="45906394"/>
    <w:rsid w:val="45996872"/>
    <w:rsid w:val="45A32DEE"/>
    <w:rsid w:val="45B7282C"/>
    <w:rsid w:val="45E63CEC"/>
    <w:rsid w:val="45F60A50"/>
    <w:rsid w:val="46134B2C"/>
    <w:rsid w:val="46142D0C"/>
    <w:rsid w:val="46370182"/>
    <w:rsid w:val="466875FA"/>
    <w:rsid w:val="467E26BF"/>
    <w:rsid w:val="46827EEC"/>
    <w:rsid w:val="46970A81"/>
    <w:rsid w:val="469C3613"/>
    <w:rsid w:val="46B036BF"/>
    <w:rsid w:val="46B35FDA"/>
    <w:rsid w:val="46DA19CB"/>
    <w:rsid w:val="46E334CC"/>
    <w:rsid w:val="46FE2800"/>
    <w:rsid w:val="471B2EC9"/>
    <w:rsid w:val="47253F6A"/>
    <w:rsid w:val="47282363"/>
    <w:rsid w:val="47571088"/>
    <w:rsid w:val="47751F70"/>
    <w:rsid w:val="477D2864"/>
    <w:rsid w:val="479C68A6"/>
    <w:rsid w:val="47AF6ABF"/>
    <w:rsid w:val="47B60CA9"/>
    <w:rsid w:val="47CE3605"/>
    <w:rsid w:val="47F70B75"/>
    <w:rsid w:val="48015F32"/>
    <w:rsid w:val="480B4720"/>
    <w:rsid w:val="483C2B71"/>
    <w:rsid w:val="48461049"/>
    <w:rsid w:val="484E21F0"/>
    <w:rsid w:val="485B2837"/>
    <w:rsid w:val="486D532A"/>
    <w:rsid w:val="48774A43"/>
    <w:rsid w:val="487F3CA9"/>
    <w:rsid w:val="48883D55"/>
    <w:rsid w:val="489459F4"/>
    <w:rsid w:val="489509A3"/>
    <w:rsid w:val="48A147B6"/>
    <w:rsid w:val="48A15E4C"/>
    <w:rsid w:val="48BF7744"/>
    <w:rsid w:val="48E917C3"/>
    <w:rsid w:val="490657F2"/>
    <w:rsid w:val="49115F99"/>
    <w:rsid w:val="494E3DE1"/>
    <w:rsid w:val="496016DB"/>
    <w:rsid w:val="49634756"/>
    <w:rsid w:val="4974392E"/>
    <w:rsid w:val="498A77E3"/>
    <w:rsid w:val="49BD712F"/>
    <w:rsid w:val="49D63BB5"/>
    <w:rsid w:val="49DC4EAC"/>
    <w:rsid w:val="49E55BC5"/>
    <w:rsid w:val="4A0116E3"/>
    <w:rsid w:val="4A100D0C"/>
    <w:rsid w:val="4A154D06"/>
    <w:rsid w:val="4A1B6421"/>
    <w:rsid w:val="4A3C0D52"/>
    <w:rsid w:val="4A3C5FDE"/>
    <w:rsid w:val="4A7017C1"/>
    <w:rsid w:val="4A885695"/>
    <w:rsid w:val="4A8A79D5"/>
    <w:rsid w:val="4A8E6337"/>
    <w:rsid w:val="4A9970BB"/>
    <w:rsid w:val="4ABC0AD1"/>
    <w:rsid w:val="4ACE2924"/>
    <w:rsid w:val="4AD54756"/>
    <w:rsid w:val="4B095006"/>
    <w:rsid w:val="4B0B4158"/>
    <w:rsid w:val="4B270924"/>
    <w:rsid w:val="4B2F438B"/>
    <w:rsid w:val="4B402DF3"/>
    <w:rsid w:val="4B405893"/>
    <w:rsid w:val="4B47370D"/>
    <w:rsid w:val="4B6A544B"/>
    <w:rsid w:val="4B91290A"/>
    <w:rsid w:val="4BC34494"/>
    <w:rsid w:val="4BC55EF3"/>
    <w:rsid w:val="4BD85564"/>
    <w:rsid w:val="4BE2120B"/>
    <w:rsid w:val="4BEE5A69"/>
    <w:rsid w:val="4C1C63D6"/>
    <w:rsid w:val="4C332641"/>
    <w:rsid w:val="4C366ECE"/>
    <w:rsid w:val="4C43089F"/>
    <w:rsid w:val="4C574379"/>
    <w:rsid w:val="4C864A35"/>
    <w:rsid w:val="4CB368F6"/>
    <w:rsid w:val="4CB72490"/>
    <w:rsid w:val="4D3229FD"/>
    <w:rsid w:val="4D434EB5"/>
    <w:rsid w:val="4D531F1A"/>
    <w:rsid w:val="4D702828"/>
    <w:rsid w:val="4D7F78DB"/>
    <w:rsid w:val="4D8740E3"/>
    <w:rsid w:val="4DA458E5"/>
    <w:rsid w:val="4DA54325"/>
    <w:rsid w:val="4DC43B24"/>
    <w:rsid w:val="4DE578DC"/>
    <w:rsid w:val="4DF008B5"/>
    <w:rsid w:val="4DFA2EF8"/>
    <w:rsid w:val="4E015C76"/>
    <w:rsid w:val="4E310026"/>
    <w:rsid w:val="4E4A2325"/>
    <w:rsid w:val="4E5020BC"/>
    <w:rsid w:val="4E886D5F"/>
    <w:rsid w:val="4E941AFA"/>
    <w:rsid w:val="4EA90AE1"/>
    <w:rsid w:val="4EAC4E6D"/>
    <w:rsid w:val="4ED05938"/>
    <w:rsid w:val="4EE26F97"/>
    <w:rsid w:val="4EE768A4"/>
    <w:rsid w:val="4EF13342"/>
    <w:rsid w:val="4F0E20EB"/>
    <w:rsid w:val="4F200FDA"/>
    <w:rsid w:val="4F582E64"/>
    <w:rsid w:val="4F7E7FBA"/>
    <w:rsid w:val="4F970F68"/>
    <w:rsid w:val="4FA16667"/>
    <w:rsid w:val="4FA1797A"/>
    <w:rsid w:val="4FA40EAE"/>
    <w:rsid w:val="4FD366FD"/>
    <w:rsid w:val="4FED506B"/>
    <w:rsid w:val="4FF44B27"/>
    <w:rsid w:val="50030F9B"/>
    <w:rsid w:val="50180035"/>
    <w:rsid w:val="501A6C55"/>
    <w:rsid w:val="502B1B43"/>
    <w:rsid w:val="502B6BFE"/>
    <w:rsid w:val="50505DD2"/>
    <w:rsid w:val="508B7CDA"/>
    <w:rsid w:val="509F33D4"/>
    <w:rsid w:val="50AA14D4"/>
    <w:rsid w:val="50BF3DCF"/>
    <w:rsid w:val="50C535A8"/>
    <w:rsid w:val="50D510F8"/>
    <w:rsid w:val="50D92B4F"/>
    <w:rsid w:val="50EE2903"/>
    <w:rsid w:val="51186D9D"/>
    <w:rsid w:val="512143F1"/>
    <w:rsid w:val="512506E7"/>
    <w:rsid w:val="515155E8"/>
    <w:rsid w:val="515F3FFA"/>
    <w:rsid w:val="5168229B"/>
    <w:rsid w:val="516F5C3B"/>
    <w:rsid w:val="51870FBE"/>
    <w:rsid w:val="5197233D"/>
    <w:rsid w:val="51B14BED"/>
    <w:rsid w:val="51B776E7"/>
    <w:rsid w:val="51CC5C50"/>
    <w:rsid w:val="51D53EE1"/>
    <w:rsid w:val="51E15B62"/>
    <w:rsid w:val="51E7082C"/>
    <w:rsid w:val="51F077FF"/>
    <w:rsid w:val="51F92E24"/>
    <w:rsid w:val="51FA093B"/>
    <w:rsid w:val="52101974"/>
    <w:rsid w:val="52526454"/>
    <w:rsid w:val="525C1CEF"/>
    <w:rsid w:val="52632F70"/>
    <w:rsid w:val="526F2A27"/>
    <w:rsid w:val="528B5767"/>
    <w:rsid w:val="52992FE9"/>
    <w:rsid w:val="529B69E7"/>
    <w:rsid w:val="529C69A9"/>
    <w:rsid w:val="52A51B22"/>
    <w:rsid w:val="52A77D4F"/>
    <w:rsid w:val="52AA2A50"/>
    <w:rsid w:val="52D33625"/>
    <w:rsid w:val="52E16F01"/>
    <w:rsid w:val="52EB0472"/>
    <w:rsid w:val="53227120"/>
    <w:rsid w:val="53341DDA"/>
    <w:rsid w:val="535248BD"/>
    <w:rsid w:val="53834F0E"/>
    <w:rsid w:val="53A3105E"/>
    <w:rsid w:val="53A97988"/>
    <w:rsid w:val="53AB1F93"/>
    <w:rsid w:val="53AB2FC5"/>
    <w:rsid w:val="53BE6997"/>
    <w:rsid w:val="53C64B93"/>
    <w:rsid w:val="540431FD"/>
    <w:rsid w:val="54202601"/>
    <w:rsid w:val="54372368"/>
    <w:rsid w:val="5439382E"/>
    <w:rsid w:val="544650A1"/>
    <w:rsid w:val="54592BF4"/>
    <w:rsid w:val="545E1779"/>
    <w:rsid w:val="547B663C"/>
    <w:rsid w:val="548A6C60"/>
    <w:rsid w:val="548C1286"/>
    <w:rsid w:val="54C57175"/>
    <w:rsid w:val="54D33DEE"/>
    <w:rsid w:val="55067073"/>
    <w:rsid w:val="55075E18"/>
    <w:rsid w:val="550B2609"/>
    <w:rsid w:val="552C79D0"/>
    <w:rsid w:val="55420F84"/>
    <w:rsid w:val="555E3423"/>
    <w:rsid w:val="559D0142"/>
    <w:rsid w:val="559D55C9"/>
    <w:rsid w:val="55AC0FA0"/>
    <w:rsid w:val="55B1164D"/>
    <w:rsid w:val="55B4735E"/>
    <w:rsid w:val="55BB221D"/>
    <w:rsid w:val="55F4010C"/>
    <w:rsid w:val="56097237"/>
    <w:rsid w:val="5612283D"/>
    <w:rsid w:val="562E6171"/>
    <w:rsid w:val="56371459"/>
    <w:rsid w:val="563E23DC"/>
    <w:rsid w:val="563F4AF1"/>
    <w:rsid w:val="56484633"/>
    <w:rsid w:val="564A016B"/>
    <w:rsid w:val="56602203"/>
    <w:rsid w:val="56654901"/>
    <w:rsid w:val="566C4DB4"/>
    <w:rsid w:val="566F7D0D"/>
    <w:rsid w:val="56971701"/>
    <w:rsid w:val="56D336C9"/>
    <w:rsid w:val="572C324C"/>
    <w:rsid w:val="574F65AD"/>
    <w:rsid w:val="576A3B72"/>
    <w:rsid w:val="57792910"/>
    <w:rsid w:val="57831E85"/>
    <w:rsid w:val="578B74F0"/>
    <w:rsid w:val="57A16053"/>
    <w:rsid w:val="57D337C5"/>
    <w:rsid w:val="58032834"/>
    <w:rsid w:val="581C10CE"/>
    <w:rsid w:val="583724CE"/>
    <w:rsid w:val="58520C5C"/>
    <w:rsid w:val="58591F7E"/>
    <w:rsid w:val="585D3595"/>
    <w:rsid w:val="58604C52"/>
    <w:rsid w:val="587C6CBB"/>
    <w:rsid w:val="588772C5"/>
    <w:rsid w:val="58A9560C"/>
    <w:rsid w:val="58AC5BCF"/>
    <w:rsid w:val="58CF29FE"/>
    <w:rsid w:val="58D0053D"/>
    <w:rsid w:val="58E572F2"/>
    <w:rsid w:val="590525A9"/>
    <w:rsid w:val="59130438"/>
    <w:rsid w:val="59301FE2"/>
    <w:rsid w:val="595E268E"/>
    <w:rsid w:val="596B2599"/>
    <w:rsid w:val="598C40A0"/>
    <w:rsid w:val="59A51EB7"/>
    <w:rsid w:val="59A63B01"/>
    <w:rsid w:val="59AD1569"/>
    <w:rsid w:val="59C315C5"/>
    <w:rsid w:val="59DA647E"/>
    <w:rsid w:val="59E55513"/>
    <w:rsid w:val="59F50A41"/>
    <w:rsid w:val="5A1C0184"/>
    <w:rsid w:val="5A556E1A"/>
    <w:rsid w:val="5A9719F9"/>
    <w:rsid w:val="5A9A2114"/>
    <w:rsid w:val="5AAE408E"/>
    <w:rsid w:val="5AC811CD"/>
    <w:rsid w:val="5ACD77B4"/>
    <w:rsid w:val="5AE222FE"/>
    <w:rsid w:val="5AF17C5E"/>
    <w:rsid w:val="5B186053"/>
    <w:rsid w:val="5B1F1766"/>
    <w:rsid w:val="5B2F1EE5"/>
    <w:rsid w:val="5B3507ED"/>
    <w:rsid w:val="5B3A3ADF"/>
    <w:rsid w:val="5B544553"/>
    <w:rsid w:val="5B785F40"/>
    <w:rsid w:val="5B7A6D7C"/>
    <w:rsid w:val="5B86794A"/>
    <w:rsid w:val="5B88171C"/>
    <w:rsid w:val="5BB970E5"/>
    <w:rsid w:val="5BBD1DA6"/>
    <w:rsid w:val="5BFD2087"/>
    <w:rsid w:val="5C045CB6"/>
    <w:rsid w:val="5C1166E3"/>
    <w:rsid w:val="5C272C70"/>
    <w:rsid w:val="5C323A5D"/>
    <w:rsid w:val="5C4C3758"/>
    <w:rsid w:val="5C792B2D"/>
    <w:rsid w:val="5C7C3F8C"/>
    <w:rsid w:val="5C840D54"/>
    <w:rsid w:val="5CD62854"/>
    <w:rsid w:val="5CDD02C3"/>
    <w:rsid w:val="5CDF3DF4"/>
    <w:rsid w:val="5CFB5F5D"/>
    <w:rsid w:val="5D012BE4"/>
    <w:rsid w:val="5D0F7A56"/>
    <w:rsid w:val="5D244C52"/>
    <w:rsid w:val="5D342677"/>
    <w:rsid w:val="5D5B0957"/>
    <w:rsid w:val="5D5E02CC"/>
    <w:rsid w:val="5D6578B9"/>
    <w:rsid w:val="5DCD3DFA"/>
    <w:rsid w:val="5DD83CD1"/>
    <w:rsid w:val="5DF64409"/>
    <w:rsid w:val="5E2864D0"/>
    <w:rsid w:val="5E494511"/>
    <w:rsid w:val="5E4C7828"/>
    <w:rsid w:val="5E8419B3"/>
    <w:rsid w:val="5E913942"/>
    <w:rsid w:val="5EAD731D"/>
    <w:rsid w:val="5EB40CAF"/>
    <w:rsid w:val="5EB44FC0"/>
    <w:rsid w:val="5EC13792"/>
    <w:rsid w:val="5ED3232A"/>
    <w:rsid w:val="5ED812D5"/>
    <w:rsid w:val="5EE87CC3"/>
    <w:rsid w:val="5EF22EEE"/>
    <w:rsid w:val="5F12540C"/>
    <w:rsid w:val="5F4F7393"/>
    <w:rsid w:val="5F75492A"/>
    <w:rsid w:val="5F8424D2"/>
    <w:rsid w:val="5F9606E2"/>
    <w:rsid w:val="5FBA395F"/>
    <w:rsid w:val="5FC8476A"/>
    <w:rsid w:val="5FD90D61"/>
    <w:rsid w:val="5FE77ACD"/>
    <w:rsid w:val="5FF50E41"/>
    <w:rsid w:val="601A26C3"/>
    <w:rsid w:val="60297773"/>
    <w:rsid w:val="60713FB2"/>
    <w:rsid w:val="608915F8"/>
    <w:rsid w:val="608E53B7"/>
    <w:rsid w:val="60916E58"/>
    <w:rsid w:val="60B37C9A"/>
    <w:rsid w:val="60C954D6"/>
    <w:rsid w:val="60CD074D"/>
    <w:rsid w:val="60D44CCA"/>
    <w:rsid w:val="60D833DA"/>
    <w:rsid w:val="60D93336"/>
    <w:rsid w:val="60DD07C1"/>
    <w:rsid w:val="60EC2CBA"/>
    <w:rsid w:val="60F535F1"/>
    <w:rsid w:val="61022CBB"/>
    <w:rsid w:val="61073325"/>
    <w:rsid w:val="610A716E"/>
    <w:rsid w:val="61262A53"/>
    <w:rsid w:val="61264E94"/>
    <w:rsid w:val="61607F64"/>
    <w:rsid w:val="61693B1A"/>
    <w:rsid w:val="616F2277"/>
    <w:rsid w:val="618532CB"/>
    <w:rsid w:val="619C6398"/>
    <w:rsid w:val="61B00940"/>
    <w:rsid w:val="61CC2D28"/>
    <w:rsid w:val="61FB3B3C"/>
    <w:rsid w:val="62211376"/>
    <w:rsid w:val="6237004B"/>
    <w:rsid w:val="62827B18"/>
    <w:rsid w:val="62D01811"/>
    <w:rsid w:val="62E57712"/>
    <w:rsid w:val="62EF60E6"/>
    <w:rsid w:val="630C63B9"/>
    <w:rsid w:val="630D0C67"/>
    <w:rsid w:val="63231C55"/>
    <w:rsid w:val="635902CD"/>
    <w:rsid w:val="636810D4"/>
    <w:rsid w:val="63855473"/>
    <w:rsid w:val="63A54317"/>
    <w:rsid w:val="63AA1562"/>
    <w:rsid w:val="63CC1082"/>
    <w:rsid w:val="63EA2534"/>
    <w:rsid w:val="63EC6F06"/>
    <w:rsid w:val="63FB7B9F"/>
    <w:rsid w:val="640256B4"/>
    <w:rsid w:val="641649C3"/>
    <w:rsid w:val="641B57B0"/>
    <w:rsid w:val="64615058"/>
    <w:rsid w:val="64706BBE"/>
    <w:rsid w:val="64771097"/>
    <w:rsid w:val="6477429E"/>
    <w:rsid w:val="64A07A63"/>
    <w:rsid w:val="64B06746"/>
    <w:rsid w:val="64C1718B"/>
    <w:rsid w:val="64DC2D87"/>
    <w:rsid w:val="64DE4CFD"/>
    <w:rsid w:val="64DF7FA4"/>
    <w:rsid w:val="64E65D23"/>
    <w:rsid w:val="64F2095B"/>
    <w:rsid w:val="64F36490"/>
    <w:rsid w:val="65207CE6"/>
    <w:rsid w:val="655C5A01"/>
    <w:rsid w:val="65606D64"/>
    <w:rsid w:val="656C2942"/>
    <w:rsid w:val="657A225C"/>
    <w:rsid w:val="65A92947"/>
    <w:rsid w:val="65AB2A15"/>
    <w:rsid w:val="65D45C1E"/>
    <w:rsid w:val="65D63F94"/>
    <w:rsid w:val="66112BA8"/>
    <w:rsid w:val="66120B08"/>
    <w:rsid w:val="66150D1C"/>
    <w:rsid w:val="66234961"/>
    <w:rsid w:val="663C3261"/>
    <w:rsid w:val="665244EE"/>
    <w:rsid w:val="66547455"/>
    <w:rsid w:val="66552AAF"/>
    <w:rsid w:val="66621ECD"/>
    <w:rsid w:val="666821B2"/>
    <w:rsid w:val="667256C6"/>
    <w:rsid w:val="669441EC"/>
    <w:rsid w:val="66A13B7D"/>
    <w:rsid w:val="66AA68D0"/>
    <w:rsid w:val="67052D52"/>
    <w:rsid w:val="67215215"/>
    <w:rsid w:val="67255D99"/>
    <w:rsid w:val="67323B86"/>
    <w:rsid w:val="673A24A9"/>
    <w:rsid w:val="674A3B3D"/>
    <w:rsid w:val="678B5D4F"/>
    <w:rsid w:val="6797706E"/>
    <w:rsid w:val="67A858DB"/>
    <w:rsid w:val="67C35E26"/>
    <w:rsid w:val="67D412DF"/>
    <w:rsid w:val="67FE4166"/>
    <w:rsid w:val="68067BA8"/>
    <w:rsid w:val="68325BAE"/>
    <w:rsid w:val="6834547F"/>
    <w:rsid w:val="684A4FA7"/>
    <w:rsid w:val="684B40A8"/>
    <w:rsid w:val="689F6503"/>
    <w:rsid w:val="68A25EC5"/>
    <w:rsid w:val="68C401C3"/>
    <w:rsid w:val="68CF7022"/>
    <w:rsid w:val="68D57C80"/>
    <w:rsid w:val="68F57142"/>
    <w:rsid w:val="6900758A"/>
    <w:rsid w:val="6916247F"/>
    <w:rsid w:val="691A127E"/>
    <w:rsid w:val="69280AF3"/>
    <w:rsid w:val="695F5461"/>
    <w:rsid w:val="698620E7"/>
    <w:rsid w:val="699762C9"/>
    <w:rsid w:val="69A833BD"/>
    <w:rsid w:val="69AD5FB8"/>
    <w:rsid w:val="69BB251C"/>
    <w:rsid w:val="69CC2657"/>
    <w:rsid w:val="6A0450F6"/>
    <w:rsid w:val="6A39766B"/>
    <w:rsid w:val="6A5205A5"/>
    <w:rsid w:val="6A53227F"/>
    <w:rsid w:val="6A605FCB"/>
    <w:rsid w:val="6A71067F"/>
    <w:rsid w:val="6A733CED"/>
    <w:rsid w:val="6AAB002C"/>
    <w:rsid w:val="6AB76720"/>
    <w:rsid w:val="6ABA507E"/>
    <w:rsid w:val="6AE92C7A"/>
    <w:rsid w:val="6B0D2786"/>
    <w:rsid w:val="6B3624B2"/>
    <w:rsid w:val="6B9A5BF6"/>
    <w:rsid w:val="6BEA62A9"/>
    <w:rsid w:val="6C160C71"/>
    <w:rsid w:val="6C2C3570"/>
    <w:rsid w:val="6C4618F1"/>
    <w:rsid w:val="6C737CFB"/>
    <w:rsid w:val="6C9A1C89"/>
    <w:rsid w:val="6C9B2B44"/>
    <w:rsid w:val="6CB01D8D"/>
    <w:rsid w:val="6CC50F62"/>
    <w:rsid w:val="6CCE0C62"/>
    <w:rsid w:val="6CDC0A79"/>
    <w:rsid w:val="6CDE4301"/>
    <w:rsid w:val="6CFC54DE"/>
    <w:rsid w:val="6D2B421D"/>
    <w:rsid w:val="6D566F0F"/>
    <w:rsid w:val="6D836F72"/>
    <w:rsid w:val="6D8F1949"/>
    <w:rsid w:val="6D8F3E9D"/>
    <w:rsid w:val="6DB5196D"/>
    <w:rsid w:val="6DD4039C"/>
    <w:rsid w:val="6DD65470"/>
    <w:rsid w:val="6DDE3DAF"/>
    <w:rsid w:val="6DFC1D81"/>
    <w:rsid w:val="6E075DFA"/>
    <w:rsid w:val="6E0B2FFD"/>
    <w:rsid w:val="6E0F2DA6"/>
    <w:rsid w:val="6E195361"/>
    <w:rsid w:val="6E1B1B78"/>
    <w:rsid w:val="6E3241BE"/>
    <w:rsid w:val="6E38130F"/>
    <w:rsid w:val="6E506FD4"/>
    <w:rsid w:val="6E6724F8"/>
    <w:rsid w:val="6E9D50CB"/>
    <w:rsid w:val="6EB97A9D"/>
    <w:rsid w:val="6EE50543"/>
    <w:rsid w:val="6EEE2822"/>
    <w:rsid w:val="6EF10A90"/>
    <w:rsid w:val="6EFA2592"/>
    <w:rsid w:val="6EFD6900"/>
    <w:rsid w:val="6F1205CF"/>
    <w:rsid w:val="6F194A2B"/>
    <w:rsid w:val="6F1A4C1A"/>
    <w:rsid w:val="6F1B6955"/>
    <w:rsid w:val="6F4E0376"/>
    <w:rsid w:val="6F557445"/>
    <w:rsid w:val="6F6B4041"/>
    <w:rsid w:val="6F6F162C"/>
    <w:rsid w:val="6F7724D9"/>
    <w:rsid w:val="6FCA4852"/>
    <w:rsid w:val="6FD24704"/>
    <w:rsid w:val="6FD41F8C"/>
    <w:rsid w:val="6FEE357B"/>
    <w:rsid w:val="6FFF1868"/>
    <w:rsid w:val="700D1C68"/>
    <w:rsid w:val="70193705"/>
    <w:rsid w:val="701F0C4A"/>
    <w:rsid w:val="70201CF7"/>
    <w:rsid w:val="703F5109"/>
    <w:rsid w:val="70473ADC"/>
    <w:rsid w:val="705171C7"/>
    <w:rsid w:val="70590A75"/>
    <w:rsid w:val="706F591E"/>
    <w:rsid w:val="70851669"/>
    <w:rsid w:val="7088024D"/>
    <w:rsid w:val="709E06DE"/>
    <w:rsid w:val="70AC0074"/>
    <w:rsid w:val="70D40EDE"/>
    <w:rsid w:val="70E348AB"/>
    <w:rsid w:val="70FD016F"/>
    <w:rsid w:val="710D1DE1"/>
    <w:rsid w:val="715F4C2D"/>
    <w:rsid w:val="71760349"/>
    <w:rsid w:val="71C5796E"/>
    <w:rsid w:val="71DD1E72"/>
    <w:rsid w:val="71EE2E9F"/>
    <w:rsid w:val="71EF2F7B"/>
    <w:rsid w:val="71F62FD4"/>
    <w:rsid w:val="72263A65"/>
    <w:rsid w:val="722F78FB"/>
    <w:rsid w:val="723D67C5"/>
    <w:rsid w:val="7257155D"/>
    <w:rsid w:val="726317C1"/>
    <w:rsid w:val="726657CA"/>
    <w:rsid w:val="726F6ED4"/>
    <w:rsid w:val="728B4299"/>
    <w:rsid w:val="72A16B66"/>
    <w:rsid w:val="72BF60CA"/>
    <w:rsid w:val="72EA1DC7"/>
    <w:rsid w:val="72F41282"/>
    <w:rsid w:val="7305742E"/>
    <w:rsid w:val="730E536B"/>
    <w:rsid w:val="732F669B"/>
    <w:rsid w:val="733D0D32"/>
    <w:rsid w:val="734F2DAC"/>
    <w:rsid w:val="73523387"/>
    <w:rsid w:val="735E03B7"/>
    <w:rsid w:val="73694985"/>
    <w:rsid w:val="73C80282"/>
    <w:rsid w:val="73D411F1"/>
    <w:rsid w:val="73D93F34"/>
    <w:rsid w:val="73D97417"/>
    <w:rsid w:val="73DC2DCC"/>
    <w:rsid w:val="73E956E9"/>
    <w:rsid w:val="73EC4FBF"/>
    <w:rsid w:val="7420296E"/>
    <w:rsid w:val="744A657B"/>
    <w:rsid w:val="745B4260"/>
    <w:rsid w:val="745F194A"/>
    <w:rsid w:val="74707796"/>
    <w:rsid w:val="7499095B"/>
    <w:rsid w:val="74A24D82"/>
    <w:rsid w:val="74B549A6"/>
    <w:rsid w:val="74B864F1"/>
    <w:rsid w:val="74CF3F3C"/>
    <w:rsid w:val="74F04DC1"/>
    <w:rsid w:val="751C5C95"/>
    <w:rsid w:val="753811DE"/>
    <w:rsid w:val="75411FCE"/>
    <w:rsid w:val="75522D6E"/>
    <w:rsid w:val="75740DCB"/>
    <w:rsid w:val="75BE67D4"/>
    <w:rsid w:val="75C2004C"/>
    <w:rsid w:val="75C759C1"/>
    <w:rsid w:val="75CE7D56"/>
    <w:rsid w:val="75D3525A"/>
    <w:rsid w:val="75D73BB3"/>
    <w:rsid w:val="762D64F3"/>
    <w:rsid w:val="76525AB6"/>
    <w:rsid w:val="76571F4C"/>
    <w:rsid w:val="765D24D4"/>
    <w:rsid w:val="765E69FD"/>
    <w:rsid w:val="76777BDB"/>
    <w:rsid w:val="767E7EFF"/>
    <w:rsid w:val="7683599C"/>
    <w:rsid w:val="76845691"/>
    <w:rsid w:val="76B76E86"/>
    <w:rsid w:val="76BA5061"/>
    <w:rsid w:val="76C57169"/>
    <w:rsid w:val="76E91124"/>
    <w:rsid w:val="76F04C56"/>
    <w:rsid w:val="77071801"/>
    <w:rsid w:val="770C675C"/>
    <w:rsid w:val="7721184D"/>
    <w:rsid w:val="775B4604"/>
    <w:rsid w:val="7769462C"/>
    <w:rsid w:val="77B47EB7"/>
    <w:rsid w:val="77C067C3"/>
    <w:rsid w:val="77C410F0"/>
    <w:rsid w:val="77DB19DB"/>
    <w:rsid w:val="780479BF"/>
    <w:rsid w:val="78103937"/>
    <w:rsid w:val="781E110E"/>
    <w:rsid w:val="782C73F9"/>
    <w:rsid w:val="78355901"/>
    <w:rsid w:val="78410408"/>
    <w:rsid w:val="786916EC"/>
    <w:rsid w:val="786923EF"/>
    <w:rsid w:val="78911E31"/>
    <w:rsid w:val="78A458C7"/>
    <w:rsid w:val="78A55CBA"/>
    <w:rsid w:val="78C37D67"/>
    <w:rsid w:val="78CA62BE"/>
    <w:rsid w:val="78D31F49"/>
    <w:rsid w:val="78DA2124"/>
    <w:rsid w:val="78FD3982"/>
    <w:rsid w:val="790077DB"/>
    <w:rsid w:val="79092F5A"/>
    <w:rsid w:val="7922350F"/>
    <w:rsid w:val="792B5470"/>
    <w:rsid w:val="792C46FC"/>
    <w:rsid w:val="79330173"/>
    <w:rsid w:val="79392FF8"/>
    <w:rsid w:val="793C1CA1"/>
    <w:rsid w:val="795917F7"/>
    <w:rsid w:val="79673535"/>
    <w:rsid w:val="79673C53"/>
    <w:rsid w:val="79A54E28"/>
    <w:rsid w:val="79B52847"/>
    <w:rsid w:val="79C86116"/>
    <w:rsid w:val="79D30567"/>
    <w:rsid w:val="79E059EE"/>
    <w:rsid w:val="7A017138"/>
    <w:rsid w:val="7A0472D6"/>
    <w:rsid w:val="7A0A4313"/>
    <w:rsid w:val="7A322B18"/>
    <w:rsid w:val="7A6F565F"/>
    <w:rsid w:val="7A8511B0"/>
    <w:rsid w:val="7A9367CB"/>
    <w:rsid w:val="7AAF2754"/>
    <w:rsid w:val="7ABD0B81"/>
    <w:rsid w:val="7ADB3E53"/>
    <w:rsid w:val="7AF22571"/>
    <w:rsid w:val="7AFC6B69"/>
    <w:rsid w:val="7B3200EF"/>
    <w:rsid w:val="7B322612"/>
    <w:rsid w:val="7B69224B"/>
    <w:rsid w:val="7B717812"/>
    <w:rsid w:val="7B8B0C38"/>
    <w:rsid w:val="7BAB49EA"/>
    <w:rsid w:val="7BB0419E"/>
    <w:rsid w:val="7BB15B0B"/>
    <w:rsid w:val="7BC83F54"/>
    <w:rsid w:val="7BD478BA"/>
    <w:rsid w:val="7BD73CF3"/>
    <w:rsid w:val="7BDE2365"/>
    <w:rsid w:val="7BE066B9"/>
    <w:rsid w:val="7BE80F25"/>
    <w:rsid w:val="7BFB389D"/>
    <w:rsid w:val="7C162328"/>
    <w:rsid w:val="7C1A0665"/>
    <w:rsid w:val="7C1B6B46"/>
    <w:rsid w:val="7C1C35A7"/>
    <w:rsid w:val="7C45431D"/>
    <w:rsid w:val="7C637679"/>
    <w:rsid w:val="7C857210"/>
    <w:rsid w:val="7C8C7AE7"/>
    <w:rsid w:val="7C9061B7"/>
    <w:rsid w:val="7C972EA9"/>
    <w:rsid w:val="7CDA3ECE"/>
    <w:rsid w:val="7CDB7866"/>
    <w:rsid w:val="7CFE7FD2"/>
    <w:rsid w:val="7D020A44"/>
    <w:rsid w:val="7D0409D3"/>
    <w:rsid w:val="7D3219D5"/>
    <w:rsid w:val="7D422F54"/>
    <w:rsid w:val="7D485E87"/>
    <w:rsid w:val="7D667A27"/>
    <w:rsid w:val="7D973589"/>
    <w:rsid w:val="7DAC2770"/>
    <w:rsid w:val="7DDD0501"/>
    <w:rsid w:val="7DE51372"/>
    <w:rsid w:val="7DEE257E"/>
    <w:rsid w:val="7E06068D"/>
    <w:rsid w:val="7E1F6540"/>
    <w:rsid w:val="7E46577D"/>
    <w:rsid w:val="7E552DFD"/>
    <w:rsid w:val="7E5E590F"/>
    <w:rsid w:val="7E74108A"/>
    <w:rsid w:val="7E8607EA"/>
    <w:rsid w:val="7E935AFB"/>
    <w:rsid w:val="7EA10BB3"/>
    <w:rsid w:val="7EA15F79"/>
    <w:rsid w:val="7ED172B5"/>
    <w:rsid w:val="7ED70CC2"/>
    <w:rsid w:val="7EE11FE7"/>
    <w:rsid w:val="7EE60BBF"/>
    <w:rsid w:val="7EF56893"/>
    <w:rsid w:val="7F2450A0"/>
    <w:rsid w:val="7F5C33A2"/>
    <w:rsid w:val="7F784D34"/>
    <w:rsid w:val="7FBE551A"/>
    <w:rsid w:val="7FC90A85"/>
    <w:rsid w:val="7FD02878"/>
    <w:rsid w:val="7FD4217F"/>
    <w:rsid w:val="7FDF1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0"/>
    <w:semiHidden/>
    <w:unhideWhenUsed/>
    <w:qFormat/>
    <w:uiPriority w:val="99"/>
    <w:rPr>
      <w:rFonts w:ascii="宋体" w:eastAsia="宋体"/>
      <w:sz w:val="18"/>
      <w:szCs w:val="18"/>
    </w:rPr>
  </w:style>
  <w:style w:type="paragraph" w:styleId="9">
    <w:name w:val="annotation text"/>
    <w:basedOn w:val="1"/>
    <w:unhideWhenUsed/>
    <w:qFormat/>
    <w:uiPriority w:val="0"/>
    <w:pPr>
      <w:jc w:val="left"/>
    </w:pPr>
  </w:style>
  <w:style w:type="paragraph" w:styleId="10">
    <w:name w:val="Body Text"/>
    <w:basedOn w:val="1"/>
    <w:link w:val="24"/>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7"/>
    <w:semiHidden/>
    <w:unhideWhenUsed/>
    <w:qFormat/>
    <w:uiPriority w:val="99"/>
    <w:pPr>
      <w:ind w:left="100" w:leftChars="2500"/>
    </w:pPr>
  </w:style>
  <w:style w:type="paragraph" w:styleId="14">
    <w:name w:val="Balloon Text"/>
    <w:basedOn w:val="1"/>
    <w:link w:val="28"/>
    <w:semiHidden/>
    <w:unhideWhenUsed/>
    <w:qFormat/>
    <w:uiPriority w:val="99"/>
    <w:rPr>
      <w:sz w:val="18"/>
      <w:szCs w:val="18"/>
      <w:lang w:val="zh-CN"/>
    </w:rPr>
  </w:style>
  <w:style w:type="paragraph" w:styleId="15">
    <w:name w:val="footer"/>
    <w:basedOn w:val="1"/>
    <w:link w:val="27"/>
    <w:unhideWhenUsed/>
    <w:qFormat/>
    <w:uiPriority w:val="99"/>
    <w:pPr>
      <w:tabs>
        <w:tab w:val="center" w:pos="4153"/>
        <w:tab w:val="right" w:pos="8306"/>
      </w:tabs>
      <w:snapToGrid w:val="0"/>
    </w:pPr>
    <w:rPr>
      <w:sz w:val="18"/>
      <w:szCs w:val="18"/>
      <w:lang w:val="zh-CN"/>
    </w:rPr>
  </w:style>
  <w:style w:type="paragraph" w:styleId="16">
    <w:name w:val="header"/>
    <w:basedOn w:val="1"/>
    <w:link w:val="25"/>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6"/>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5"/>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8"/>
    <w:semiHidden/>
    <w:qFormat/>
    <w:uiPriority w:val="99"/>
    <w:rPr>
      <w:rFonts w:ascii="宋体" w:hAnsi="Times New Roman"/>
      <w:sz w:val="18"/>
      <w:szCs w:val="18"/>
      <w:lang w:eastAsia="en-US"/>
    </w:rPr>
  </w:style>
  <w:style w:type="paragraph" w:customStyle="1" w:styleId="31">
    <w:name w:val="B1"/>
    <w:basedOn w:val="12"/>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7"/>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3"/>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20"/>
    <w:qFormat/>
    <w:uiPriority w:val="0"/>
  </w:style>
  <w:style w:type="character" w:customStyle="1" w:styleId="55">
    <w:name w:val="eop"/>
    <w:basedOn w:val="20"/>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样式3"/>
    <w:basedOn w:val="29"/>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2023-11-03T16:16:01Z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8850F0EE529C44F1895E79E02FD5F4F1</vt:lpwstr>
  </property>
</Properties>
</file>